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Pr="00C30E39" w:rsidRDefault="00623C2F">
      <w:pPr>
        <w:pStyle w:val="CommentText"/>
        <w:rPr>
          <w:rFonts w:cs="Arial"/>
          <w:noProof/>
          <w:sz w:val="24"/>
          <w:szCs w:val="24"/>
          <w:lang w:val="en-US"/>
        </w:rPr>
      </w:pPr>
    </w:p>
    <w:p w:rsidR="00623C2F" w:rsidRPr="00C30E39" w:rsidRDefault="00623C2F">
      <w:pPr>
        <w:pStyle w:val="CommentText"/>
        <w:rPr>
          <w:rFonts w:cs="Arial"/>
          <w:noProof/>
          <w:sz w:val="24"/>
          <w:szCs w:val="24"/>
          <w:lang w:val="en-US"/>
        </w:rPr>
      </w:pPr>
    </w:p>
    <w:p w:rsidR="00623C2F" w:rsidRPr="00C30E39" w:rsidRDefault="00623C2F">
      <w:pPr>
        <w:pStyle w:val="CommentText"/>
        <w:rPr>
          <w:rFonts w:cs="Arial"/>
          <w:noProof/>
          <w:sz w:val="24"/>
          <w:szCs w:val="24"/>
          <w:lang w:val="en-US"/>
        </w:rPr>
      </w:pPr>
    </w:p>
    <w:p w:rsidR="00623C2F" w:rsidRPr="00C30E39" w:rsidRDefault="00623C2F">
      <w:pPr>
        <w:pStyle w:val="CommentText"/>
        <w:rPr>
          <w:rFonts w:cs="Arial"/>
          <w:noProof/>
          <w:sz w:val="24"/>
          <w:szCs w:val="24"/>
          <w:lang w:val="en-US"/>
        </w:rPr>
      </w:pPr>
    </w:p>
    <w:p w:rsidR="00F4367A" w:rsidRPr="00C30E39" w:rsidRDefault="00FD34CA">
      <w:pPr>
        <w:pStyle w:val="CommentText"/>
        <w:rPr>
          <w:rFonts w:cs="Arial"/>
          <w:noProof/>
          <w:sz w:val="24"/>
          <w:szCs w:val="24"/>
          <w:lang w:val="en-US"/>
        </w:rPr>
      </w:pPr>
      <w:r w:rsidRPr="00C30E39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D331C9" wp14:editId="6F29977A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0D" w:rsidRDefault="005B570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50ECB8" wp14:editId="5A960EE8">
                                  <wp:extent cx="935355" cy="1254760"/>
                                  <wp:effectExtent l="0" t="0" r="0" b="254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5B570D" w:rsidRDefault="005B570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50ECB8" wp14:editId="5A960EE8">
                            <wp:extent cx="935355" cy="1254760"/>
                            <wp:effectExtent l="0" t="0" r="0" b="254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Pr="00C30E39" w:rsidRDefault="00F4367A">
      <w:pPr>
        <w:jc w:val="right"/>
        <w:rPr>
          <w:rFonts w:cs="Arial"/>
          <w:b/>
          <w:bCs/>
        </w:rPr>
      </w:pPr>
    </w:p>
    <w:p w:rsidR="00F4367A" w:rsidRPr="00C30E39" w:rsidRDefault="00F4367A">
      <w:pPr>
        <w:jc w:val="right"/>
        <w:rPr>
          <w:rFonts w:cs="Arial"/>
        </w:rPr>
      </w:pPr>
    </w:p>
    <w:p w:rsidR="00F4367A" w:rsidRPr="00C30E39" w:rsidRDefault="00F4367A">
      <w:pPr>
        <w:tabs>
          <w:tab w:val="left" w:pos="2160"/>
        </w:tabs>
        <w:rPr>
          <w:rFonts w:cs="Arial"/>
          <w:b/>
          <w:bCs/>
          <w:u w:val="single"/>
        </w:rPr>
      </w:pPr>
      <w:r w:rsidRPr="00C30E39">
        <w:rPr>
          <w:rFonts w:cs="Arial"/>
          <w:b/>
          <w:bCs/>
          <w:u w:val="single"/>
        </w:rPr>
        <w:t xml:space="preserve">                                                                     </w:t>
      </w:r>
    </w:p>
    <w:p w:rsidR="00F4367A" w:rsidRPr="00C30E39" w:rsidRDefault="00F4367A">
      <w:pPr>
        <w:rPr>
          <w:rFonts w:cs="Arial"/>
          <w:b/>
          <w:bCs/>
        </w:rPr>
      </w:pPr>
    </w:p>
    <w:p w:rsidR="0079085B" w:rsidRDefault="00F4367A">
      <w:pPr>
        <w:tabs>
          <w:tab w:val="left" w:pos="2160"/>
        </w:tabs>
        <w:rPr>
          <w:rFonts w:cs="Arial"/>
          <w:b/>
          <w:bCs/>
        </w:rPr>
      </w:pPr>
      <w:r w:rsidRPr="00C30E39">
        <w:rPr>
          <w:rFonts w:cs="Arial"/>
          <w:b/>
          <w:bCs/>
        </w:rPr>
        <w:t>To:</w:t>
      </w:r>
      <w:r w:rsidR="00EA2FDD" w:rsidRPr="00C30E39">
        <w:rPr>
          <w:rFonts w:cs="Arial"/>
          <w:b/>
          <w:bCs/>
        </w:rPr>
        <w:tab/>
      </w:r>
      <w:r w:rsidRPr="00C30E39">
        <w:rPr>
          <w:rFonts w:cs="Arial"/>
          <w:b/>
          <w:bCs/>
        </w:rPr>
        <w:t>City Executive Board</w:t>
      </w:r>
      <w:r w:rsidR="0079085B">
        <w:rPr>
          <w:rFonts w:cs="Arial"/>
          <w:b/>
          <w:bCs/>
        </w:rPr>
        <w:t xml:space="preserve"> and</w:t>
      </w:r>
    </w:p>
    <w:p w:rsidR="00F4367A" w:rsidRPr="003A1D0C" w:rsidRDefault="0079085B">
      <w:pPr>
        <w:tabs>
          <w:tab w:val="left" w:pos="2160"/>
        </w:tabs>
        <w:rPr>
          <w:rFonts w:cs="Arial"/>
          <w:b/>
          <w:bCs/>
          <w:color w:val="FF0000"/>
        </w:rPr>
      </w:pPr>
      <w:r>
        <w:rPr>
          <w:rFonts w:cs="Arial"/>
          <w:b/>
          <w:bCs/>
        </w:rPr>
        <w:tab/>
        <w:t>Full Council</w:t>
      </w:r>
      <w:r w:rsidR="00454FE9" w:rsidRPr="00C30E39">
        <w:rPr>
          <w:rFonts w:cs="Arial"/>
          <w:b/>
          <w:bCs/>
        </w:rPr>
        <w:t xml:space="preserve"> </w:t>
      </w:r>
    </w:p>
    <w:p w:rsidR="00F4367A" w:rsidRPr="00C30E39" w:rsidRDefault="00F4367A">
      <w:pPr>
        <w:rPr>
          <w:rFonts w:cs="Arial"/>
          <w:b/>
          <w:bCs/>
        </w:rPr>
      </w:pPr>
    </w:p>
    <w:p w:rsidR="006729BE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</w:rPr>
      </w:pPr>
      <w:r w:rsidRPr="00C30E39">
        <w:rPr>
          <w:rFonts w:cs="Arial"/>
          <w:b/>
          <w:bCs/>
        </w:rPr>
        <w:t>Date:</w:t>
      </w:r>
      <w:r w:rsidR="00EA2FDD" w:rsidRPr="00C30E39">
        <w:rPr>
          <w:rFonts w:cs="Arial"/>
          <w:b/>
          <w:bCs/>
        </w:rPr>
        <w:tab/>
      </w:r>
      <w:r w:rsidR="00362E23">
        <w:rPr>
          <w:rFonts w:cs="Arial"/>
          <w:b/>
          <w:bCs/>
        </w:rPr>
        <w:t>14</w:t>
      </w:r>
      <w:r w:rsidR="00667588">
        <w:rPr>
          <w:rFonts w:cs="Arial"/>
          <w:b/>
          <w:bCs/>
          <w:vertAlign w:val="superscript"/>
        </w:rPr>
        <w:t xml:space="preserve"> </w:t>
      </w:r>
      <w:r w:rsidR="00807CE6" w:rsidRPr="00C30E39">
        <w:rPr>
          <w:rFonts w:cs="Arial"/>
          <w:b/>
          <w:bCs/>
        </w:rPr>
        <w:t xml:space="preserve"> </w:t>
      </w:r>
      <w:r w:rsidR="007724F8" w:rsidRPr="00C30E39">
        <w:rPr>
          <w:rFonts w:cs="Arial"/>
          <w:b/>
          <w:bCs/>
        </w:rPr>
        <w:t xml:space="preserve"> </w:t>
      </w:r>
      <w:r w:rsidR="00692114">
        <w:rPr>
          <w:rFonts w:cs="Arial"/>
          <w:b/>
          <w:bCs/>
        </w:rPr>
        <w:t>April</w:t>
      </w:r>
      <w:r w:rsidR="00807CE6" w:rsidRPr="00C30E39">
        <w:rPr>
          <w:rFonts w:cs="Arial"/>
          <w:b/>
          <w:bCs/>
        </w:rPr>
        <w:t xml:space="preserve"> </w:t>
      </w:r>
      <w:r w:rsidR="00807CE6" w:rsidRPr="006729BE">
        <w:rPr>
          <w:rFonts w:cs="Arial"/>
          <w:b/>
          <w:bCs/>
        </w:rPr>
        <w:t>2016</w:t>
      </w:r>
      <w:r w:rsidR="002E2CA6" w:rsidRPr="006729BE">
        <w:rPr>
          <w:rFonts w:cs="Arial"/>
          <w:b/>
        </w:rPr>
        <w:t xml:space="preserve"> </w:t>
      </w:r>
      <w:r w:rsidR="006729BE">
        <w:rPr>
          <w:rFonts w:cs="Arial"/>
          <w:b/>
        </w:rPr>
        <w:t>(CEB)</w:t>
      </w:r>
    </w:p>
    <w:p w:rsidR="00F4367A" w:rsidRPr="00C30E39" w:rsidRDefault="002E2CA6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 w:rsidRPr="006729BE">
        <w:rPr>
          <w:rFonts w:cs="Arial"/>
          <w:b/>
        </w:rPr>
        <w:t xml:space="preserve"> </w:t>
      </w:r>
      <w:r w:rsidR="006729BE">
        <w:rPr>
          <w:rFonts w:cs="Arial"/>
          <w:b/>
        </w:rPr>
        <w:tab/>
      </w:r>
      <w:proofErr w:type="gramStart"/>
      <w:r w:rsidR="006729BE" w:rsidRPr="006729BE">
        <w:rPr>
          <w:rFonts w:cs="Arial"/>
          <w:b/>
        </w:rPr>
        <w:t xml:space="preserve">18 </w:t>
      </w:r>
      <w:r w:rsidR="00EC31CD">
        <w:rPr>
          <w:rFonts w:cs="Arial"/>
          <w:b/>
        </w:rPr>
        <w:t xml:space="preserve"> </w:t>
      </w:r>
      <w:r w:rsidR="006729BE" w:rsidRPr="006729BE">
        <w:rPr>
          <w:rFonts w:cs="Arial"/>
          <w:b/>
        </w:rPr>
        <w:t>April</w:t>
      </w:r>
      <w:proofErr w:type="gramEnd"/>
      <w:r w:rsidR="006729BE">
        <w:rPr>
          <w:rFonts w:cs="Arial"/>
        </w:rPr>
        <w:t xml:space="preserve"> </w:t>
      </w:r>
      <w:r w:rsidR="006729BE" w:rsidRPr="006729BE">
        <w:rPr>
          <w:rFonts w:cs="Arial"/>
          <w:b/>
        </w:rPr>
        <w:t>(Council)</w:t>
      </w:r>
      <w:r w:rsidR="00F4367A" w:rsidRPr="00C30E39">
        <w:rPr>
          <w:rFonts w:cs="Arial"/>
          <w:b/>
          <w:bCs/>
        </w:rPr>
        <w:tab/>
        <w:t xml:space="preserve">       </w:t>
      </w:r>
      <w:r w:rsidR="00F4367A" w:rsidRPr="00C30E39">
        <w:rPr>
          <w:rFonts w:cs="Arial"/>
          <w:b/>
          <w:bCs/>
        </w:rPr>
        <w:tab/>
        <w:t xml:space="preserve">   </w:t>
      </w:r>
      <w:r w:rsidR="00F4367A" w:rsidRPr="00C30E39">
        <w:rPr>
          <w:rFonts w:cs="Arial"/>
          <w:b/>
          <w:bCs/>
        </w:rPr>
        <w:tab/>
      </w:r>
    </w:p>
    <w:p w:rsidR="00F4367A" w:rsidRPr="00C30E39" w:rsidRDefault="00F4367A">
      <w:pPr>
        <w:jc w:val="right"/>
        <w:rPr>
          <w:rFonts w:cs="Arial"/>
          <w:b/>
          <w:bCs/>
        </w:rPr>
      </w:pPr>
    </w:p>
    <w:p w:rsidR="00F4367A" w:rsidRPr="00C30E39" w:rsidRDefault="00F4367A">
      <w:pPr>
        <w:rPr>
          <w:rFonts w:cs="Arial"/>
          <w:b/>
          <w:bCs/>
        </w:rPr>
      </w:pPr>
      <w:r w:rsidRPr="00C30E39">
        <w:rPr>
          <w:rFonts w:cs="Arial"/>
          <w:b/>
          <w:bCs/>
        </w:rPr>
        <w:t>Report of:</w:t>
      </w:r>
      <w:r w:rsidR="00EA2FDD" w:rsidRPr="00C30E39">
        <w:rPr>
          <w:rFonts w:cs="Arial"/>
          <w:b/>
          <w:bCs/>
        </w:rPr>
        <w:tab/>
      </w:r>
      <w:r w:rsidR="00EA2FDD" w:rsidRPr="00C30E39">
        <w:rPr>
          <w:rFonts w:cs="Arial"/>
          <w:b/>
          <w:bCs/>
        </w:rPr>
        <w:tab/>
        <w:t>Executive Director</w:t>
      </w:r>
      <w:r w:rsidRPr="00C30E39">
        <w:rPr>
          <w:rFonts w:cs="Arial"/>
          <w:b/>
          <w:bCs/>
        </w:rPr>
        <w:tab/>
      </w:r>
      <w:r w:rsidR="0036530E" w:rsidRPr="00C30E39">
        <w:rPr>
          <w:rFonts w:cs="Arial"/>
          <w:b/>
          <w:bCs/>
        </w:rPr>
        <w:t xml:space="preserve">Regeneration and </w:t>
      </w:r>
      <w:r w:rsidR="0048016E" w:rsidRPr="00C30E39">
        <w:rPr>
          <w:rFonts w:cs="Arial"/>
          <w:b/>
          <w:bCs/>
        </w:rPr>
        <w:t xml:space="preserve">Housing </w:t>
      </w:r>
    </w:p>
    <w:p w:rsidR="00F4367A" w:rsidRPr="00C30E39" w:rsidRDefault="00F4367A">
      <w:pPr>
        <w:tabs>
          <w:tab w:val="left" w:pos="2160"/>
        </w:tabs>
        <w:rPr>
          <w:rFonts w:cs="Arial"/>
          <w:b/>
          <w:bCs/>
        </w:rPr>
      </w:pPr>
    </w:p>
    <w:p w:rsidR="00F4367A" w:rsidRPr="009C2343" w:rsidRDefault="00F4367A" w:rsidP="00C815B6">
      <w:pPr>
        <w:tabs>
          <w:tab w:val="left" w:pos="2160"/>
        </w:tabs>
        <w:ind w:left="2160" w:hanging="2160"/>
        <w:rPr>
          <w:rFonts w:cs="Arial"/>
          <w:b/>
          <w:bCs/>
        </w:rPr>
      </w:pPr>
      <w:r w:rsidRPr="00C30E39">
        <w:rPr>
          <w:rFonts w:cs="Arial"/>
          <w:b/>
          <w:bCs/>
        </w:rPr>
        <w:t>Title of Report:</w:t>
      </w:r>
      <w:r w:rsidRPr="00C30E39">
        <w:rPr>
          <w:rFonts w:cs="Arial"/>
          <w:b/>
          <w:bCs/>
        </w:rPr>
        <w:tab/>
      </w:r>
      <w:r w:rsidR="009C2343">
        <w:rPr>
          <w:rFonts w:cs="Arial"/>
          <w:b/>
          <w:bCs/>
        </w:rPr>
        <w:t xml:space="preserve">Sale of </w:t>
      </w:r>
      <w:proofErr w:type="spellStart"/>
      <w:r w:rsidR="0048016E" w:rsidRPr="00C30E39">
        <w:rPr>
          <w:rFonts w:cs="Arial"/>
          <w:b/>
          <w:bCs/>
        </w:rPr>
        <w:t>Oxpens</w:t>
      </w:r>
      <w:proofErr w:type="spellEnd"/>
      <w:r w:rsidR="0048016E" w:rsidRPr="00C30E39">
        <w:rPr>
          <w:rFonts w:cs="Arial"/>
          <w:b/>
          <w:bCs/>
        </w:rPr>
        <w:t xml:space="preserve"> </w:t>
      </w:r>
      <w:r w:rsidR="009C2343">
        <w:rPr>
          <w:rFonts w:cs="Arial"/>
          <w:b/>
          <w:bCs/>
        </w:rPr>
        <w:t xml:space="preserve">Land and Loan to </w:t>
      </w:r>
      <w:r w:rsidR="009C2343" w:rsidRPr="009C2343">
        <w:rPr>
          <w:rFonts w:cs="Arial"/>
          <w:b/>
        </w:rPr>
        <w:t>Oxford West End Development Ltd</w:t>
      </w:r>
    </w:p>
    <w:p w:rsidR="00F4367A" w:rsidRPr="00C30E39" w:rsidRDefault="00F4367A">
      <w:pPr>
        <w:rPr>
          <w:rFonts w:cs="Arial"/>
        </w:rPr>
      </w:pPr>
    </w:p>
    <w:p w:rsidR="00F4367A" w:rsidRPr="00C30E39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u w:val="single"/>
        </w:rPr>
      </w:pPr>
    </w:p>
    <w:p w:rsidR="00F4367A" w:rsidRPr="00C30E39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u w:val="single"/>
        </w:rPr>
      </w:pPr>
      <w:r w:rsidRPr="00C30E39">
        <w:rPr>
          <w:rFonts w:cs="Arial"/>
          <w:u w:val="single"/>
        </w:rPr>
        <w:t>Summary and Recommendations</w:t>
      </w:r>
    </w:p>
    <w:p w:rsidR="00F4367A" w:rsidRPr="00C30E39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Pr="00C30E39" w:rsidRDefault="00F4367A" w:rsidP="0070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</w:rPr>
      </w:pPr>
      <w:r w:rsidRPr="00C30E39">
        <w:rPr>
          <w:rFonts w:cs="Arial"/>
          <w:b/>
          <w:bCs/>
        </w:rPr>
        <w:t>Purpose of report</w:t>
      </w:r>
      <w:r w:rsidRPr="00C30E39">
        <w:rPr>
          <w:rFonts w:cs="Arial"/>
        </w:rPr>
        <w:t xml:space="preserve">:  </w:t>
      </w:r>
      <w:r w:rsidR="00D80014" w:rsidRPr="00C30E39">
        <w:rPr>
          <w:rFonts w:cs="Arial"/>
          <w:color w:val="000000"/>
        </w:rPr>
        <w:t xml:space="preserve">To </w:t>
      </w:r>
      <w:r w:rsidR="00C6513B">
        <w:rPr>
          <w:rFonts w:cs="Arial"/>
          <w:color w:val="000000"/>
        </w:rPr>
        <w:t>seek budgetary approval</w:t>
      </w:r>
      <w:r w:rsidR="00704E70" w:rsidRPr="00C30E39">
        <w:rPr>
          <w:rFonts w:cs="Arial"/>
          <w:color w:val="000000"/>
        </w:rPr>
        <w:t xml:space="preserve">. </w:t>
      </w:r>
    </w:p>
    <w:p w:rsidR="00704E70" w:rsidRPr="00C30E39" w:rsidRDefault="00704E70" w:rsidP="0070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Pr="00C30E39" w:rsidRDefault="00623C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rFonts w:cs="Arial"/>
          <w:bCs w:val="0"/>
        </w:rPr>
      </w:pPr>
      <w:r w:rsidRPr="00C30E39">
        <w:rPr>
          <w:rFonts w:cs="Arial"/>
          <w:bCs w:val="0"/>
        </w:rPr>
        <w:t xml:space="preserve">Key decision </w:t>
      </w:r>
      <w:r w:rsidR="0048016E" w:rsidRPr="00C30E39">
        <w:rPr>
          <w:rFonts w:cs="Arial"/>
          <w:b w:val="0"/>
          <w:bCs w:val="0"/>
        </w:rPr>
        <w:t>Yes</w:t>
      </w:r>
      <w:r w:rsidR="0048016E" w:rsidRPr="00C30E39">
        <w:rPr>
          <w:rFonts w:cs="Arial"/>
          <w:b w:val="0"/>
          <w:bCs w:val="0"/>
          <w:i/>
        </w:rPr>
        <w:t xml:space="preserve"> </w:t>
      </w:r>
      <w:r w:rsidR="00F4367A" w:rsidRPr="00C30E39">
        <w:rPr>
          <w:rFonts w:cs="Arial"/>
          <w:bCs w:val="0"/>
        </w:rPr>
        <w:t xml:space="preserve"> </w:t>
      </w:r>
    </w:p>
    <w:p w:rsidR="00F4367A" w:rsidRPr="00C30E39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8016E" w:rsidRPr="00C30E39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C30E39">
        <w:rPr>
          <w:rFonts w:cs="Arial"/>
          <w:b/>
          <w:bCs/>
        </w:rPr>
        <w:t xml:space="preserve">Executive lead </w:t>
      </w:r>
      <w:proofErr w:type="gramStart"/>
      <w:r w:rsidRPr="00C30E39">
        <w:rPr>
          <w:rFonts w:cs="Arial"/>
          <w:b/>
          <w:bCs/>
        </w:rPr>
        <w:t>member</w:t>
      </w:r>
      <w:r w:rsidR="00EF366A" w:rsidRPr="00C30E39">
        <w:rPr>
          <w:rFonts w:cs="Arial"/>
          <w:b/>
          <w:bCs/>
        </w:rPr>
        <w:t xml:space="preserve">s </w:t>
      </w:r>
      <w:r w:rsidRPr="00C30E39">
        <w:rPr>
          <w:rFonts w:cs="Arial"/>
          <w:b/>
          <w:bCs/>
        </w:rPr>
        <w:t>:</w:t>
      </w:r>
      <w:proofErr w:type="gramEnd"/>
      <w:r w:rsidRPr="00C30E39">
        <w:rPr>
          <w:rFonts w:cs="Arial"/>
          <w:b/>
          <w:bCs/>
        </w:rPr>
        <w:t xml:space="preserve"> </w:t>
      </w:r>
      <w:r w:rsidR="00EF366A" w:rsidRPr="00C30E39">
        <w:rPr>
          <w:rFonts w:cs="Arial"/>
          <w:bCs/>
        </w:rPr>
        <w:t>Cllr Ed Turner, Board Member for Finance, Asset Management and Public Health</w:t>
      </w:r>
      <w:r w:rsidR="00CA1A09" w:rsidRPr="00C30E39">
        <w:rPr>
          <w:rFonts w:cs="Arial"/>
        </w:rPr>
        <w:t>.</w:t>
      </w:r>
      <w:r w:rsidR="00EC1383" w:rsidRPr="00EC1383">
        <w:rPr>
          <w:rFonts w:cs="Arial"/>
          <w:bCs/>
        </w:rPr>
        <w:t xml:space="preserve"> </w:t>
      </w:r>
      <w:r w:rsidR="00EC1383" w:rsidRPr="00C30E39">
        <w:rPr>
          <w:rFonts w:cs="Arial"/>
          <w:bCs/>
        </w:rPr>
        <w:t>Cl</w:t>
      </w:r>
      <w:r w:rsidR="00911000">
        <w:rPr>
          <w:rFonts w:cs="Arial"/>
          <w:bCs/>
        </w:rPr>
        <w:t xml:space="preserve">lr Bob Price, Board Member for </w:t>
      </w:r>
      <w:r w:rsidR="00EC1383" w:rsidRPr="00C30E39">
        <w:rPr>
          <w:rFonts w:cs="Arial"/>
          <w:bCs/>
        </w:rPr>
        <w:t xml:space="preserve">Corporate Strategy and Economic Development. </w:t>
      </w:r>
      <w:r w:rsidR="00CA1A09" w:rsidRPr="00C30E39">
        <w:rPr>
          <w:rFonts w:cs="Arial"/>
        </w:rPr>
        <w:t xml:space="preserve"> </w:t>
      </w:r>
    </w:p>
    <w:p w:rsidR="00F4367A" w:rsidRPr="00C30E39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Pr="00C30E39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C30E39">
        <w:rPr>
          <w:rFonts w:cs="Arial"/>
          <w:b/>
          <w:bCs/>
        </w:rPr>
        <w:t xml:space="preserve">Policy Framework: </w:t>
      </w:r>
      <w:r w:rsidR="00FA39FB" w:rsidRPr="00C30E39">
        <w:rPr>
          <w:rFonts w:cs="Arial"/>
          <w:bCs/>
        </w:rPr>
        <w:t>Corpora</w:t>
      </w:r>
      <w:r w:rsidR="0048016E" w:rsidRPr="00C30E39">
        <w:rPr>
          <w:rFonts w:cs="Arial"/>
          <w:bCs/>
        </w:rPr>
        <w:t>te Plan</w:t>
      </w:r>
      <w:r w:rsidR="00CA1A09" w:rsidRPr="00C30E39">
        <w:rPr>
          <w:rFonts w:cs="Arial"/>
          <w:bCs/>
        </w:rPr>
        <w:t xml:space="preserve"> </w:t>
      </w:r>
      <w:r w:rsidR="0048016E" w:rsidRPr="00C30E39">
        <w:rPr>
          <w:rFonts w:cs="Arial"/>
          <w:bCs/>
        </w:rPr>
        <w:t>- vibrant &amp; sustainable e</w:t>
      </w:r>
      <w:r w:rsidR="00FA39FB" w:rsidRPr="00C30E39">
        <w:rPr>
          <w:rFonts w:cs="Arial"/>
          <w:bCs/>
        </w:rPr>
        <w:t>conomy; Core Strategy 2010; West</w:t>
      </w:r>
      <w:r w:rsidR="0048016E" w:rsidRPr="00C30E39">
        <w:rPr>
          <w:rFonts w:cs="Arial"/>
          <w:bCs/>
        </w:rPr>
        <w:t xml:space="preserve"> E</w:t>
      </w:r>
      <w:r w:rsidR="00FA39FB" w:rsidRPr="00C30E39">
        <w:rPr>
          <w:rFonts w:cs="Arial"/>
          <w:bCs/>
        </w:rPr>
        <w:t>n</w:t>
      </w:r>
      <w:r w:rsidR="005B570D" w:rsidRPr="00C30E39">
        <w:rPr>
          <w:rFonts w:cs="Arial"/>
          <w:bCs/>
        </w:rPr>
        <w:t>d Area Action Plan 2008; R</w:t>
      </w:r>
      <w:r w:rsidR="0048016E" w:rsidRPr="00C30E39">
        <w:rPr>
          <w:rFonts w:cs="Arial"/>
          <w:bCs/>
        </w:rPr>
        <w:t xml:space="preserve">egeneration Framework 2010; </w:t>
      </w:r>
      <w:proofErr w:type="spellStart"/>
      <w:r w:rsidR="0048016E" w:rsidRPr="00C30E39">
        <w:rPr>
          <w:rFonts w:cs="Arial"/>
          <w:bCs/>
        </w:rPr>
        <w:t>Oxpens</w:t>
      </w:r>
      <w:proofErr w:type="spellEnd"/>
      <w:r w:rsidR="0048016E" w:rsidRPr="00C30E39">
        <w:rPr>
          <w:rFonts w:cs="Arial"/>
          <w:bCs/>
        </w:rPr>
        <w:t xml:space="preserve"> SPD 2013</w:t>
      </w:r>
    </w:p>
    <w:p w:rsidR="00F4367A" w:rsidRPr="00C30E39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EC1383" w:rsidRDefault="00EF366A" w:rsidP="00491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spacing w:after="120"/>
        <w:rPr>
          <w:rFonts w:cs="Arial"/>
        </w:rPr>
      </w:pPr>
      <w:r w:rsidRPr="00C30E39">
        <w:rPr>
          <w:rFonts w:cs="Arial"/>
          <w:b/>
        </w:rPr>
        <w:t xml:space="preserve">Recommendations: </w:t>
      </w:r>
      <w:r w:rsidR="00C65AE4">
        <w:rPr>
          <w:rFonts w:cs="Arial"/>
        </w:rPr>
        <w:t>Th</w:t>
      </w:r>
      <w:r w:rsidR="00491484">
        <w:rPr>
          <w:rFonts w:cs="Arial"/>
        </w:rPr>
        <w:t>at the</w:t>
      </w:r>
      <w:r w:rsidR="00FA39FB" w:rsidRPr="00C30E39">
        <w:rPr>
          <w:rFonts w:cs="Arial"/>
        </w:rPr>
        <w:t xml:space="preserve"> City Executive Board</w:t>
      </w:r>
      <w:r w:rsidR="00692114">
        <w:t xml:space="preserve"> </w:t>
      </w:r>
      <w:r w:rsidR="00491484">
        <w:t>resolves to</w:t>
      </w:r>
      <w:r w:rsidR="00C65AE4">
        <w:t xml:space="preserve"> recommend full </w:t>
      </w:r>
      <w:r w:rsidR="00692114" w:rsidRPr="00961734">
        <w:t xml:space="preserve">Council </w:t>
      </w:r>
      <w:r w:rsidR="00491484">
        <w:t xml:space="preserve">to </w:t>
      </w:r>
      <w:r w:rsidR="00692114" w:rsidRPr="00961734">
        <w:t>approve</w:t>
      </w:r>
      <w:r w:rsidR="00FA39FB" w:rsidRPr="00C30E39">
        <w:rPr>
          <w:rFonts w:cs="Arial"/>
        </w:rPr>
        <w:t>:</w:t>
      </w:r>
    </w:p>
    <w:p w:rsidR="00491484" w:rsidRPr="00491484" w:rsidRDefault="00491484" w:rsidP="00491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20"/>
        <w:ind w:left="567" w:hanging="567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Pr="00491484">
        <w:rPr>
          <w:rFonts w:cs="Arial"/>
        </w:rPr>
        <w:t>A loan of £4.16 million to Oxford West End Development Ltd to provide funds to the company to purchase land owned by Oxford City Council on terms set out in this report.</w:t>
      </w:r>
    </w:p>
    <w:p w:rsidR="00491484" w:rsidRDefault="00491484" w:rsidP="00491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491484">
        <w:rPr>
          <w:rFonts w:cs="Arial"/>
        </w:rPr>
        <w:t>A capital budget of £4.16 million in the Council’s General Fund Capital Programme in 2017/18 funded from the Capital Receipt received from the sale of the land.</w:t>
      </w:r>
    </w:p>
    <w:p w:rsidR="00491484" w:rsidRDefault="00491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</w:p>
    <w:p w:rsidR="00644794" w:rsidRPr="00C30E39" w:rsidRDefault="00644794">
      <w:pPr>
        <w:rPr>
          <w:rFonts w:cs="Arial"/>
          <w:b/>
        </w:rPr>
      </w:pPr>
    </w:p>
    <w:p w:rsidR="00713675" w:rsidRPr="00C30E39" w:rsidRDefault="00713675">
      <w:pPr>
        <w:rPr>
          <w:rFonts w:cs="Arial"/>
        </w:rPr>
      </w:pPr>
      <w:r w:rsidRPr="00C30E39">
        <w:rPr>
          <w:rFonts w:cs="Arial"/>
          <w:b/>
        </w:rPr>
        <w:t>Appendices</w:t>
      </w:r>
      <w:r w:rsidRPr="00C30E39">
        <w:rPr>
          <w:rFonts w:cs="Arial"/>
        </w:rPr>
        <w:t xml:space="preserve"> </w:t>
      </w:r>
    </w:p>
    <w:p w:rsidR="00713675" w:rsidRDefault="007B6E54">
      <w:pPr>
        <w:rPr>
          <w:rFonts w:cs="Arial"/>
        </w:rPr>
      </w:pPr>
      <w:r w:rsidRPr="00C30E39">
        <w:rPr>
          <w:rFonts w:cs="Arial"/>
        </w:rPr>
        <w:t xml:space="preserve">Appendix </w:t>
      </w:r>
      <w:r w:rsidR="00440192" w:rsidRPr="00C30E39">
        <w:rPr>
          <w:rFonts w:cs="Arial"/>
        </w:rPr>
        <w:t>1</w:t>
      </w:r>
      <w:r w:rsidRPr="00C30E39">
        <w:rPr>
          <w:rFonts w:cs="Arial"/>
        </w:rPr>
        <w:t xml:space="preserve"> </w:t>
      </w:r>
      <w:r w:rsidR="003421AB">
        <w:rPr>
          <w:rFonts w:cs="Arial"/>
        </w:rPr>
        <w:tab/>
      </w:r>
      <w:r w:rsidR="003421AB">
        <w:rPr>
          <w:rFonts w:cs="Arial"/>
        </w:rPr>
        <w:tab/>
      </w:r>
      <w:r w:rsidRPr="00C30E39">
        <w:rPr>
          <w:rFonts w:cs="Arial"/>
        </w:rPr>
        <w:t>Risk Register</w:t>
      </w:r>
    </w:p>
    <w:p w:rsidR="004274AA" w:rsidRDefault="004274AA">
      <w:pPr>
        <w:rPr>
          <w:rFonts w:cs="Arial"/>
        </w:rPr>
      </w:pPr>
      <w:r>
        <w:rPr>
          <w:rFonts w:cs="Arial"/>
        </w:rPr>
        <w:t xml:space="preserve">Appendix 2 </w:t>
      </w:r>
      <w:r w:rsidR="003421AB">
        <w:rPr>
          <w:rFonts w:cs="Arial"/>
        </w:rPr>
        <w:tab/>
      </w:r>
      <w:r w:rsidR="003421AB">
        <w:rPr>
          <w:rFonts w:cs="Arial"/>
        </w:rPr>
        <w:tab/>
      </w:r>
      <w:r>
        <w:rPr>
          <w:rFonts w:cs="Arial"/>
        </w:rPr>
        <w:t>Land Ownership Plan</w:t>
      </w:r>
    </w:p>
    <w:p w:rsidR="00EE3880" w:rsidRPr="00C30E39" w:rsidRDefault="00EE3880">
      <w:pPr>
        <w:rPr>
          <w:rFonts w:cs="Arial"/>
        </w:rPr>
      </w:pPr>
    </w:p>
    <w:p w:rsidR="00EE3880" w:rsidRPr="00C30E39" w:rsidRDefault="00EE3880" w:rsidP="00EE3880">
      <w:pPr>
        <w:rPr>
          <w:rFonts w:cs="Arial"/>
          <w:b/>
        </w:rPr>
      </w:pPr>
    </w:p>
    <w:p w:rsidR="007B6E54" w:rsidRPr="00C30E39" w:rsidRDefault="007B6E54" w:rsidP="00C815B6">
      <w:pPr>
        <w:spacing w:after="120"/>
        <w:ind w:left="357"/>
        <w:rPr>
          <w:rFonts w:cs="Arial"/>
          <w:b/>
        </w:rPr>
      </w:pPr>
      <w:r w:rsidRPr="00C30E39">
        <w:rPr>
          <w:rFonts w:cs="Arial"/>
          <w:b/>
        </w:rPr>
        <w:t>Background</w:t>
      </w:r>
      <w:r w:rsidR="001C3FEE" w:rsidRPr="00C30E39">
        <w:rPr>
          <w:rFonts w:cs="Arial"/>
          <w:b/>
        </w:rPr>
        <w:tab/>
      </w:r>
    </w:p>
    <w:p w:rsidR="00863BC6" w:rsidRDefault="00863BC6" w:rsidP="00665D2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Further to </w:t>
      </w:r>
      <w:r w:rsidR="001C481E">
        <w:rPr>
          <w:rFonts w:cs="Arial"/>
        </w:rPr>
        <w:t xml:space="preserve">the </w:t>
      </w:r>
      <w:r>
        <w:rPr>
          <w:rFonts w:cs="Arial"/>
        </w:rPr>
        <w:t>C</w:t>
      </w:r>
      <w:r w:rsidR="001C481E">
        <w:rPr>
          <w:rFonts w:cs="Arial"/>
        </w:rPr>
        <w:t xml:space="preserve">ity </w:t>
      </w:r>
      <w:r>
        <w:rPr>
          <w:rFonts w:cs="Arial"/>
        </w:rPr>
        <w:t>E</w:t>
      </w:r>
      <w:r w:rsidR="001C481E">
        <w:rPr>
          <w:rFonts w:cs="Arial"/>
        </w:rPr>
        <w:t xml:space="preserve">xecutive </w:t>
      </w:r>
      <w:r>
        <w:rPr>
          <w:rFonts w:cs="Arial"/>
        </w:rPr>
        <w:t>B</w:t>
      </w:r>
      <w:r w:rsidR="001C481E">
        <w:rPr>
          <w:rFonts w:cs="Arial"/>
        </w:rPr>
        <w:t>oard’s (CEB)</w:t>
      </w:r>
      <w:r>
        <w:rPr>
          <w:rFonts w:cs="Arial"/>
        </w:rPr>
        <w:t xml:space="preserve"> approval in January 2016</w:t>
      </w:r>
      <w:r w:rsidR="003714FC">
        <w:rPr>
          <w:rFonts w:cs="Arial"/>
        </w:rPr>
        <w:t>,</w:t>
      </w:r>
      <w:r>
        <w:rPr>
          <w:rFonts w:cs="Arial"/>
        </w:rPr>
        <w:t xml:space="preserve"> the Council has now entered into a joint venture with Nuffield College and formed a new company, Oxford West End Development Ltd</w:t>
      </w:r>
      <w:r w:rsidR="00C50790">
        <w:rPr>
          <w:rFonts w:cs="Arial"/>
        </w:rPr>
        <w:t xml:space="preserve"> (OXWED).</w:t>
      </w:r>
      <w:r w:rsidR="003714FC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3714FC">
        <w:rPr>
          <w:rFonts w:cs="Arial"/>
        </w:rPr>
        <w:t>The company</w:t>
      </w:r>
      <w:r>
        <w:rPr>
          <w:rFonts w:cs="Arial"/>
        </w:rPr>
        <w:t xml:space="preserve"> has</w:t>
      </w:r>
      <w:r w:rsidR="003714FC">
        <w:rPr>
          <w:rFonts w:cs="Arial"/>
        </w:rPr>
        <w:t xml:space="preserve"> successfully </w:t>
      </w:r>
      <w:r>
        <w:rPr>
          <w:rFonts w:cs="Arial"/>
        </w:rPr>
        <w:t>acquired land previously owned by LCR</w:t>
      </w:r>
      <w:r w:rsidR="003714FC">
        <w:rPr>
          <w:rFonts w:cs="Arial"/>
        </w:rPr>
        <w:t xml:space="preserve"> and</w:t>
      </w:r>
      <w:r>
        <w:rPr>
          <w:rFonts w:cs="Arial"/>
        </w:rPr>
        <w:t xml:space="preserve"> will </w:t>
      </w:r>
      <w:r w:rsidR="003714FC">
        <w:rPr>
          <w:rFonts w:cs="Arial"/>
        </w:rPr>
        <w:t xml:space="preserve">now </w:t>
      </w:r>
      <w:r>
        <w:rPr>
          <w:rFonts w:cs="Arial"/>
        </w:rPr>
        <w:t>proceed with the procurement of a developer partner</w:t>
      </w:r>
      <w:r w:rsidR="003714FC">
        <w:rPr>
          <w:rFonts w:cs="Arial"/>
        </w:rPr>
        <w:t xml:space="preserve">, </w:t>
      </w:r>
      <w:r>
        <w:rPr>
          <w:rFonts w:cs="Arial"/>
        </w:rPr>
        <w:t>complete land assembly and bring forward a schem</w:t>
      </w:r>
      <w:r w:rsidR="003714FC">
        <w:rPr>
          <w:rFonts w:cs="Arial"/>
        </w:rPr>
        <w:t xml:space="preserve">e of comprehensive development </w:t>
      </w:r>
      <w:r w:rsidR="00F33282">
        <w:rPr>
          <w:rFonts w:cs="Arial"/>
        </w:rPr>
        <w:t>comprising</w:t>
      </w:r>
      <w:r w:rsidR="003714FC">
        <w:rPr>
          <w:rFonts w:cs="Arial"/>
        </w:rPr>
        <w:t xml:space="preserve"> a new mixed-use neighbourhood with essential </w:t>
      </w:r>
      <w:r w:rsidR="00EF09E9">
        <w:rPr>
          <w:rFonts w:cs="Arial"/>
        </w:rPr>
        <w:t xml:space="preserve">business space and homes, both market and affordable. </w:t>
      </w:r>
      <w:r w:rsidR="00E24BE5">
        <w:rPr>
          <w:rFonts w:cs="Arial"/>
        </w:rPr>
        <w:t xml:space="preserve">The </w:t>
      </w:r>
      <w:r w:rsidR="009C3A48">
        <w:rPr>
          <w:rFonts w:cs="Arial"/>
        </w:rPr>
        <w:t>previous CEB</w:t>
      </w:r>
      <w:r w:rsidR="00E24BE5">
        <w:rPr>
          <w:rFonts w:cs="Arial"/>
        </w:rPr>
        <w:t xml:space="preserve"> approval</w:t>
      </w:r>
      <w:r w:rsidR="009C3A48">
        <w:rPr>
          <w:rFonts w:cs="Arial"/>
        </w:rPr>
        <w:t xml:space="preserve"> agreed the</w:t>
      </w:r>
      <w:r w:rsidR="00E24BE5">
        <w:rPr>
          <w:rFonts w:cs="Arial"/>
        </w:rPr>
        <w:t xml:space="preserve"> transfer </w:t>
      </w:r>
      <w:r w:rsidR="00EE33A7">
        <w:rPr>
          <w:rFonts w:cs="Arial"/>
        </w:rPr>
        <w:t xml:space="preserve">of </w:t>
      </w:r>
      <w:r w:rsidR="00E24BE5">
        <w:rPr>
          <w:rFonts w:cs="Arial"/>
        </w:rPr>
        <w:t xml:space="preserve">Council owned land into the joint venture, </w:t>
      </w:r>
      <w:r w:rsidR="00CD3422">
        <w:rPr>
          <w:rFonts w:cs="Arial"/>
        </w:rPr>
        <w:t>including the financial principles</w:t>
      </w:r>
      <w:r w:rsidR="00E24BE5">
        <w:rPr>
          <w:rFonts w:cs="Arial"/>
        </w:rPr>
        <w:t xml:space="preserve">. </w:t>
      </w:r>
      <w:r w:rsidR="009C3A48">
        <w:rPr>
          <w:rFonts w:cs="Arial"/>
        </w:rPr>
        <w:t>However, separate budgetary approval is required</w:t>
      </w:r>
      <w:r w:rsidR="00E24BE5">
        <w:rPr>
          <w:rFonts w:cs="Arial"/>
        </w:rPr>
        <w:t xml:space="preserve"> </w:t>
      </w:r>
      <w:r w:rsidR="009C3A48">
        <w:rPr>
          <w:rFonts w:cs="Arial"/>
        </w:rPr>
        <w:t xml:space="preserve">to fund the transaction and this is </w:t>
      </w:r>
      <w:r w:rsidR="001107CC">
        <w:rPr>
          <w:rFonts w:cs="Arial"/>
        </w:rPr>
        <w:t xml:space="preserve">the </w:t>
      </w:r>
      <w:r w:rsidR="009C3A48">
        <w:rPr>
          <w:rFonts w:cs="Arial"/>
        </w:rPr>
        <w:t>subject of this report.</w:t>
      </w:r>
    </w:p>
    <w:p w:rsidR="003714FC" w:rsidRDefault="003714FC" w:rsidP="003714FC">
      <w:pPr>
        <w:pStyle w:val="ListParagraph"/>
        <w:ind w:left="360"/>
        <w:rPr>
          <w:rFonts w:cs="Arial"/>
        </w:rPr>
      </w:pPr>
    </w:p>
    <w:p w:rsidR="009C3A48" w:rsidRDefault="009C3A48" w:rsidP="00F3328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The Council’s own landholding will transfer into the joint venture company for an agreed price, each partner paying its share of the acquisition cost for which a budget facility is required.</w:t>
      </w:r>
    </w:p>
    <w:p w:rsidR="00491484" w:rsidRPr="00491484" w:rsidRDefault="00491484" w:rsidP="00491484">
      <w:pPr>
        <w:pStyle w:val="ListParagraph"/>
        <w:rPr>
          <w:rFonts w:cs="Arial"/>
        </w:rPr>
      </w:pPr>
    </w:p>
    <w:p w:rsidR="008C703F" w:rsidRPr="00491484" w:rsidRDefault="001107CC" w:rsidP="008C703F">
      <w:pPr>
        <w:pStyle w:val="ListParagraph"/>
        <w:numPr>
          <w:ilvl w:val="0"/>
          <w:numId w:val="3"/>
        </w:numPr>
        <w:rPr>
          <w:rFonts w:cs="Arial"/>
        </w:rPr>
      </w:pPr>
      <w:r w:rsidRPr="00491484">
        <w:rPr>
          <w:rFonts w:cs="Arial"/>
        </w:rPr>
        <w:t>Additionally</w:t>
      </w:r>
      <w:r w:rsidR="009C3A48" w:rsidRPr="00491484">
        <w:rPr>
          <w:rFonts w:cs="Arial"/>
        </w:rPr>
        <w:t>, t</w:t>
      </w:r>
      <w:r w:rsidR="003714FC" w:rsidRPr="00491484">
        <w:rPr>
          <w:rFonts w:cs="Arial"/>
        </w:rPr>
        <w:t xml:space="preserve">he new company requires </w:t>
      </w:r>
      <w:r w:rsidRPr="00491484">
        <w:rPr>
          <w:rFonts w:cs="Arial"/>
        </w:rPr>
        <w:t xml:space="preserve">sufficient </w:t>
      </w:r>
      <w:r w:rsidR="003714FC" w:rsidRPr="00491484">
        <w:rPr>
          <w:rFonts w:cs="Arial"/>
        </w:rPr>
        <w:t xml:space="preserve">working capital </w:t>
      </w:r>
      <w:r w:rsidR="009C3A48" w:rsidRPr="00491484">
        <w:rPr>
          <w:rFonts w:cs="Arial"/>
        </w:rPr>
        <w:t xml:space="preserve">from the partners </w:t>
      </w:r>
      <w:r w:rsidR="003714FC" w:rsidRPr="00491484">
        <w:rPr>
          <w:rFonts w:cs="Arial"/>
        </w:rPr>
        <w:t xml:space="preserve">to </w:t>
      </w:r>
      <w:r w:rsidR="00F33282" w:rsidRPr="00491484">
        <w:rPr>
          <w:rFonts w:cs="Arial"/>
        </w:rPr>
        <w:t>cover</w:t>
      </w:r>
      <w:r w:rsidR="003714FC" w:rsidRPr="00491484">
        <w:rPr>
          <w:rFonts w:cs="Arial"/>
        </w:rPr>
        <w:t xml:space="preserve"> legal,</w:t>
      </w:r>
      <w:r w:rsidR="00F33282" w:rsidRPr="00491484">
        <w:rPr>
          <w:rFonts w:cs="Arial"/>
        </w:rPr>
        <w:t xml:space="preserve"> property and technical</w:t>
      </w:r>
      <w:r w:rsidR="003714FC" w:rsidRPr="00491484">
        <w:rPr>
          <w:rFonts w:cs="Arial"/>
        </w:rPr>
        <w:t xml:space="preserve"> fees </w:t>
      </w:r>
      <w:r w:rsidR="00F33282" w:rsidRPr="00491484">
        <w:rPr>
          <w:rFonts w:cs="Arial"/>
        </w:rPr>
        <w:t xml:space="preserve">to </w:t>
      </w:r>
      <w:r w:rsidR="003714FC" w:rsidRPr="00491484">
        <w:rPr>
          <w:rFonts w:cs="Arial"/>
        </w:rPr>
        <w:t>un</w:t>
      </w:r>
      <w:r w:rsidR="00F33282" w:rsidRPr="00491484">
        <w:rPr>
          <w:rFonts w:cs="Arial"/>
        </w:rPr>
        <w:t>dertake a</w:t>
      </w:r>
      <w:r w:rsidR="003714FC" w:rsidRPr="00491484">
        <w:rPr>
          <w:rFonts w:cs="Arial"/>
        </w:rPr>
        <w:t xml:space="preserve"> marketing exercise to secure a developer partner</w:t>
      </w:r>
      <w:r w:rsidR="00F33282" w:rsidRPr="00491484">
        <w:rPr>
          <w:rFonts w:cs="Arial"/>
        </w:rPr>
        <w:t xml:space="preserve"> and to cover other sundry and one-off expenses.</w:t>
      </w:r>
      <w:r w:rsidR="008C703F" w:rsidRPr="00491484">
        <w:t xml:space="preserve"> </w:t>
      </w:r>
      <w:r w:rsidR="00315F0B" w:rsidRPr="00491484">
        <w:rPr>
          <w:rFonts w:cs="Arial"/>
        </w:rPr>
        <w:t>The CEB report of January 2016 made provision for up to £150k to be invested in the company to cover the City Counci</w:t>
      </w:r>
      <w:r w:rsidR="004960D2" w:rsidRPr="00491484">
        <w:rPr>
          <w:rFonts w:cs="Arial"/>
        </w:rPr>
        <w:t>l</w:t>
      </w:r>
      <w:r w:rsidR="00315F0B" w:rsidRPr="00491484">
        <w:rPr>
          <w:rFonts w:cs="Arial"/>
        </w:rPr>
        <w:t>’s share of these fees</w:t>
      </w:r>
      <w:r w:rsidR="004960D2" w:rsidRPr="00491484">
        <w:rPr>
          <w:rFonts w:cs="Arial"/>
        </w:rPr>
        <w:t>.</w:t>
      </w:r>
    </w:p>
    <w:p w:rsidR="00E94747" w:rsidRPr="008C703F" w:rsidRDefault="00E94747" w:rsidP="008C703F">
      <w:pPr>
        <w:rPr>
          <w:rFonts w:cs="Arial"/>
        </w:rPr>
      </w:pPr>
    </w:p>
    <w:p w:rsidR="00DE6443" w:rsidRPr="00C30E39" w:rsidRDefault="00DE6443" w:rsidP="00C815B6">
      <w:pPr>
        <w:pStyle w:val="ListParagraph"/>
        <w:spacing w:after="120"/>
        <w:ind w:left="357"/>
        <w:contextualSpacing w:val="0"/>
        <w:rPr>
          <w:rFonts w:cs="Arial"/>
          <w:b/>
        </w:rPr>
      </w:pPr>
      <w:r w:rsidRPr="00C30E39">
        <w:rPr>
          <w:rFonts w:cs="Arial"/>
          <w:b/>
        </w:rPr>
        <w:t>Priority</w:t>
      </w:r>
    </w:p>
    <w:p w:rsidR="00DE6443" w:rsidRPr="00C30E39" w:rsidRDefault="00DE6443" w:rsidP="00DE6443">
      <w:pPr>
        <w:pStyle w:val="ListParagraph"/>
        <w:numPr>
          <w:ilvl w:val="0"/>
          <w:numId w:val="3"/>
        </w:numPr>
        <w:rPr>
          <w:rFonts w:cs="Arial"/>
        </w:rPr>
      </w:pPr>
      <w:r w:rsidRPr="00C30E39">
        <w:rPr>
          <w:rFonts w:cs="Arial"/>
        </w:rPr>
        <w:t xml:space="preserve">The </w:t>
      </w:r>
      <w:proofErr w:type="spellStart"/>
      <w:r w:rsidRPr="00C30E39">
        <w:rPr>
          <w:rFonts w:cs="Arial"/>
        </w:rPr>
        <w:t>Oxpens</w:t>
      </w:r>
      <w:proofErr w:type="spellEnd"/>
      <w:r w:rsidRPr="00C30E39">
        <w:rPr>
          <w:rFonts w:cs="Arial"/>
        </w:rPr>
        <w:t xml:space="preserve"> development is a strategic priority in the Oxford City Deal and the Oxfordshire Strategic Economic Plan unlock</w:t>
      </w:r>
      <w:r w:rsidR="00584460">
        <w:rPr>
          <w:rFonts w:cs="Arial"/>
        </w:rPr>
        <w:t>ing</w:t>
      </w:r>
      <w:r w:rsidRPr="00C30E39">
        <w:rPr>
          <w:rFonts w:cs="Arial"/>
        </w:rPr>
        <w:t xml:space="preserve"> major private sector investment and jobs as well as delivering significant wider benefits, including:</w:t>
      </w:r>
    </w:p>
    <w:p w:rsidR="00DE6443" w:rsidRPr="00C30E39" w:rsidRDefault="00DE6443" w:rsidP="00DE6443">
      <w:pPr>
        <w:pStyle w:val="ListParagraph"/>
        <w:numPr>
          <w:ilvl w:val="0"/>
          <w:numId w:val="13"/>
        </w:numPr>
        <w:rPr>
          <w:rFonts w:cs="Arial"/>
        </w:rPr>
      </w:pPr>
      <w:r w:rsidRPr="00C30E39">
        <w:rPr>
          <w:rFonts w:cs="Arial"/>
        </w:rPr>
        <w:t>business space and accommodation for new and growing enterprises and services which require links to the universities and service economy</w:t>
      </w:r>
    </w:p>
    <w:p w:rsidR="00DE6443" w:rsidRPr="00C30E39" w:rsidRDefault="00DE6443" w:rsidP="00DE6443">
      <w:pPr>
        <w:pStyle w:val="ListParagraph"/>
        <w:numPr>
          <w:ilvl w:val="0"/>
          <w:numId w:val="13"/>
        </w:numPr>
        <w:rPr>
          <w:rFonts w:cs="Arial"/>
        </w:rPr>
      </w:pPr>
      <w:r w:rsidRPr="00C30E39">
        <w:rPr>
          <w:rFonts w:cs="Arial"/>
        </w:rPr>
        <w:t xml:space="preserve">city centre regeneration linked to major investment committed at the railway station and Westgate (£500m redevelopment </w:t>
      </w:r>
      <w:r w:rsidR="00E46893">
        <w:rPr>
          <w:rFonts w:cs="Arial"/>
        </w:rPr>
        <w:t>now under construction</w:t>
      </w:r>
      <w:r w:rsidRPr="00C30E39">
        <w:rPr>
          <w:rFonts w:cs="Arial"/>
        </w:rPr>
        <w:t>)</w:t>
      </w:r>
    </w:p>
    <w:p w:rsidR="00DE6443" w:rsidRPr="00C30E39" w:rsidRDefault="00DE6443" w:rsidP="00DE6443">
      <w:pPr>
        <w:pStyle w:val="ListParagraph"/>
        <w:numPr>
          <w:ilvl w:val="0"/>
          <w:numId w:val="13"/>
        </w:numPr>
        <w:rPr>
          <w:rFonts w:cs="Arial"/>
        </w:rPr>
      </w:pPr>
      <w:r w:rsidRPr="00C30E39">
        <w:rPr>
          <w:rFonts w:cs="Arial"/>
        </w:rPr>
        <w:t>transport improvements and flooding infrastructure which are essential to enable the city’s economy to grow</w:t>
      </w:r>
    </w:p>
    <w:p w:rsidR="00DE6443" w:rsidRPr="00C30E39" w:rsidRDefault="00DE6443" w:rsidP="00DE6443">
      <w:pPr>
        <w:pStyle w:val="ListParagraph"/>
        <w:numPr>
          <w:ilvl w:val="0"/>
          <w:numId w:val="13"/>
        </w:numPr>
        <w:rPr>
          <w:rFonts w:cs="Arial"/>
        </w:rPr>
      </w:pPr>
      <w:r w:rsidRPr="00C30E39">
        <w:rPr>
          <w:rFonts w:cs="Arial"/>
        </w:rPr>
        <w:t xml:space="preserve">providing a platform for wider regeneration including employment areas near the station and </w:t>
      </w:r>
      <w:proofErr w:type="spellStart"/>
      <w:r w:rsidRPr="00C30E39">
        <w:rPr>
          <w:rFonts w:cs="Arial"/>
        </w:rPr>
        <w:t>Osney</w:t>
      </w:r>
      <w:proofErr w:type="spellEnd"/>
      <w:r w:rsidRPr="00C30E39">
        <w:rPr>
          <w:rFonts w:cs="Arial"/>
        </w:rPr>
        <w:t xml:space="preserve"> Mead, and supporting redevelopment around </w:t>
      </w:r>
      <w:proofErr w:type="spellStart"/>
      <w:r w:rsidRPr="00C30E39">
        <w:rPr>
          <w:rFonts w:cs="Arial"/>
        </w:rPr>
        <w:t>Frideswide</w:t>
      </w:r>
      <w:proofErr w:type="spellEnd"/>
      <w:r w:rsidRPr="00C30E39">
        <w:rPr>
          <w:rFonts w:cs="Arial"/>
        </w:rPr>
        <w:t xml:space="preserve"> Square</w:t>
      </w:r>
    </w:p>
    <w:p w:rsidR="00DE6443" w:rsidRPr="00C30E39" w:rsidRDefault="00DE6443" w:rsidP="00DE6443">
      <w:pPr>
        <w:pStyle w:val="ListParagraph"/>
        <w:numPr>
          <w:ilvl w:val="0"/>
          <w:numId w:val="13"/>
        </w:numPr>
        <w:rPr>
          <w:rFonts w:cs="Arial"/>
        </w:rPr>
      </w:pPr>
      <w:proofErr w:type="gramStart"/>
      <w:r w:rsidRPr="00C30E39">
        <w:rPr>
          <w:rFonts w:cs="Arial"/>
        </w:rPr>
        <w:t>providing</w:t>
      </w:r>
      <w:proofErr w:type="gramEnd"/>
      <w:r w:rsidRPr="00C30E39">
        <w:rPr>
          <w:rFonts w:cs="Arial"/>
        </w:rPr>
        <w:t xml:space="preserve"> new market and affordable housing (over 300 homes), and visitor accommodation.</w:t>
      </w:r>
    </w:p>
    <w:p w:rsidR="00EB7D3B" w:rsidRPr="00C30E39" w:rsidRDefault="00EB7D3B" w:rsidP="00EB7D3B">
      <w:pPr>
        <w:pStyle w:val="ListParagraph"/>
        <w:rPr>
          <w:rFonts w:cs="Arial"/>
        </w:rPr>
      </w:pPr>
    </w:p>
    <w:p w:rsidR="00DE6443" w:rsidRPr="00C30E39" w:rsidRDefault="00DC0A05" w:rsidP="00C815B6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Timing and </w:t>
      </w:r>
      <w:r w:rsidR="00EF09E9">
        <w:rPr>
          <w:rFonts w:cs="Arial"/>
          <w:b/>
        </w:rPr>
        <w:t xml:space="preserve">Sale of Council Land </w:t>
      </w:r>
    </w:p>
    <w:p w:rsidR="00963126" w:rsidRPr="00963126" w:rsidRDefault="00DB040D" w:rsidP="00963126">
      <w:pPr>
        <w:pStyle w:val="PlainText"/>
        <w:numPr>
          <w:ilvl w:val="0"/>
          <w:numId w:val="3"/>
        </w:numPr>
      </w:pPr>
      <w:r w:rsidRPr="00C30E39">
        <w:rPr>
          <w:rFonts w:cs="Arial"/>
          <w:szCs w:val="24"/>
        </w:rPr>
        <w:t xml:space="preserve">The </w:t>
      </w:r>
      <w:r w:rsidR="00EF09E9">
        <w:rPr>
          <w:rFonts w:cs="Arial"/>
          <w:szCs w:val="24"/>
        </w:rPr>
        <w:t>Council has entered into a condition</w:t>
      </w:r>
      <w:r w:rsidR="00C50790">
        <w:rPr>
          <w:rFonts w:cs="Arial"/>
          <w:szCs w:val="24"/>
        </w:rPr>
        <w:t xml:space="preserve">al contract for the sale of its land to </w:t>
      </w:r>
      <w:r w:rsidR="00F7474C">
        <w:rPr>
          <w:rFonts w:cs="Arial"/>
          <w:szCs w:val="24"/>
        </w:rPr>
        <w:t xml:space="preserve">the </w:t>
      </w:r>
      <w:r w:rsidR="00C50790">
        <w:rPr>
          <w:rFonts w:cs="Arial"/>
          <w:szCs w:val="24"/>
        </w:rPr>
        <w:t>OXWED</w:t>
      </w:r>
      <w:r w:rsidR="00C34687">
        <w:rPr>
          <w:rFonts w:cs="Arial"/>
          <w:szCs w:val="24"/>
        </w:rPr>
        <w:t xml:space="preserve"> </w:t>
      </w:r>
      <w:r w:rsidR="00F7474C">
        <w:rPr>
          <w:rFonts w:cs="Arial"/>
        </w:rPr>
        <w:t xml:space="preserve">investment vehicle for development at </w:t>
      </w:r>
      <w:r w:rsidR="00F7474C" w:rsidRPr="00C30E39">
        <w:rPr>
          <w:rFonts w:cs="Arial"/>
        </w:rPr>
        <w:t>an agreed price</w:t>
      </w:r>
      <w:r w:rsidR="00165A53">
        <w:rPr>
          <w:rFonts w:cs="Arial"/>
        </w:rPr>
        <w:t xml:space="preserve"> of </w:t>
      </w:r>
      <w:r w:rsidR="00165A53">
        <w:rPr>
          <w:rFonts w:cs="Arial"/>
        </w:rPr>
        <w:lastRenderedPageBreak/>
        <w:t xml:space="preserve">£8million. </w:t>
      </w:r>
      <w:r w:rsidR="00F7474C">
        <w:rPr>
          <w:rFonts w:cs="Arial"/>
          <w:szCs w:val="24"/>
        </w:rPr>
        <w:t xml:space="preserve"> </w:t>
      </w:r>
      <w:r w:rsidR="00963126">
        <w:rPr>
          <w:rFonts w:cs="Arial"/>
          <w:szCs w:val="24"/>
        </w:rPr>
        <w:t xml:space="preserve">It will now </w:t>
      </w:r>
      <w:r w:rsidR="00C34687" w:rsidRPr="00C34687">
        <w:rPr>
          <w:rFonts w:cs="Arial"/>
          <w:szCs w:val="24"/>
        </w:rPr>
        <w:t xml:space="preserve">seek vacant possession of its property in order to meet the </w:t>
      </w:r>
      <w:r w:rsidR="00C34687">
        <w:rPr>
          <w:rFonts w:cs="Arial"/>
          <w:szCs w:val="24"/>
        </w:rPr>
        <w:t xml:space="preserve">contract </w:t>
      </w:r>
      <w:r w:rsidR="00C34687" w:rsidRPr="00C34687">
        <w:rPr>
          <w:rFonts w:cs="Arial"/>
          <w:szCs w:val="24"/>
        </w:rPr>
        <w:t xml:space="preserve">unconditional </w:t>
      </w:r>
      <w:r w:rsidR="00C34687">
        <w:rPr>
          <w:rFonts w:cs="Arial"/>
          <w:szCs w:val="24"/>
        </w:rPr>
        <w:t>date</w:t>
      </w:r>
      <w:r w:rsidR="00F7474C">
        <w:rPr>
          <w:rFonts w:cs="Arial"/>
          <w:szCs w:val="24"/>
        </w:rPr>
        <w:t xml:space="preserve"> </w:t>
      </w:r>
      <w:r w:rsidR="004B4440">
        <w:rPr>
          <w:rFonts w:cs="Arial"/>
          <w:szCs w:val="24"/>
        </w:rPr>
        <w:t xml:space="preserve">which </w:t>
      </w:r>
      <w:r w:rsidR="00C65AE4">
        <w:rPr>
          <w:rFonts w:cs="Arial"/>
          <w:szCs w:val="24"/>
        </w:rPr>
        <w:t>is</w:t>
      </w:r>
      <w:r w:rsidR="004B4440">
        <w:rPr>
          <w:rFonts w:cs="Arial"/>
          <w:szCs w:val="24"/>
        </w:rPr>
        <w:t xml:space="preserve"> the</w:t>
      </w:r>
      <w:r w:rsidR="00C34687">
        <w:rPr>
          <w:rFonts w:cs="Arial"/>
          <w:szCs w:val="24"/>
        </w:rPr>
        <w:t xml:space="preserve"> 31st Decembe</w:t>
      </w:r>
      <w:r w:rsidR="00C34687" w:rsidRPr="00C34687">
        <w:rPr>
          <w:rFonts w:cs="Arial"/>
          <w:szCs w:val="24"/>
        </w:rPr>
        <w:t>r 2017.</w:t>
      </w:r>
      <w:r w:rsidR="00DC0A05">
        <w:rPr>
          <w:rFonts w:cs="Arial"/>
          <w:szCs w:val="24"/>
        </w:rPr>
        <w:t xml:space="preserve"> At this point the Council will need to </w:t>
      </w:r>
      <w:r w:rsidR="003421AB">
        <w:rPr>
          <w:rFonts w:cs="Arial"/>
          <w:szCs w:val="24"/>
        </w:rPr>
        <w:t xml:space="preserve">lend </w:t>
      </w:r>
      <w:r w:rsidR="00DC0A05">
        <w:rPr>
          <w:rFonts w:cs="Arial"/>
          <w:szCs w:val="24"/>
        </w:rPr>
        <w:t>£4million</w:t>
      </w:r>
      <w:r w:rsidR="00963126">
        <w:rPr>
          <w:rFonts w:cs="Arial"/>
          <w:szCs w:val="24"/>
        </w:rPr>
        <w:t xml:space="preserve"> plus </w:t>
      </w:r>
      <w:r w:rsidR="00C9016D">
        <w:rPr>
          <w:rFonts w:cs="Arial"/>
          <w:szCs w:val="24"/>
        </w:rPr>
        <w:t>£</w:t>
      </w:r>
      <w:r w:rsidR="00165A53">
        <w:rPr>
          <w:rFonts w:cs="Arial"/>
          <w:szCs w:val="24"/>
        </w:rPr>
        <w:t>160k Stamp Duty</w:t>
      </w:r>
      <w:r w:rsidR="00DC0A05">
        <w:rPr>
          <w:rFonts w:cs="Arial"/>
          <w:szCs w:val="24"/>
        </w:rPr>
        <w:t xml:space="preserve"> to the comp</w:t>
      </w:r>
      <w:r w:rsidR="004B4440">
        <w:rPr>
          <w:rFonts w:cs="Arial"/>
          <w:szCs w:val="24"/>
        </w:rPr>
        <w:t xml:space="preserve">any </w:t>
      </w:r>
      <w:r w:rsidR="009C3A48">
        <w:rPr>
          <w:rFonts w:cs="Arial"/>
          <w:szCs w:val="24"/>
        </w:rPr>
        <w:t xml:space="preserve">(which is half the cost to the joint venture) </w:t>
      </w:r>
      <w:r w:rsidR="004B4440">
        <w:rPr>
          <w:rFonts w:cs="Arial"/>
          <w:szCs w:val="24"/>
        </w:rPr>
        <w:t>to complete the acquisition</w:t>
      </w:r>
      <w:r w:rsidR="00E722B5">
        <w:rPr>
          <w:rFonts w:cs="Arial"/>
          <w:szCs w:val="24"/>
        </w:rPr>
        <w:t>.</w:t>
      </w:r>
      <w:r w:rsidR="00D77B3F">
        <w:rPr>
          <w:rFonts w:cs="Arial"/>
          <w:szCs w:val="24"/>
        </w:rPr>
        <w:t xml:space="preserve">  T</w:t>
      </w:r>
      <w:r w:rsidR="009C3A48">
        <w:rPr>
          <w:rFonts w:cs="Arial"/>
          <w:szCs w:val="24"/>
        </w:rPr>
        <w:t xml:space="preserve">he Council will </w:t>
      </w:r>
      <w:r w:rsidR="004B4440" w:rsidRPr="004B4440">
        <w:rPr>
          <w:rFonts w:cs="Arial"/>
          <w:szCs w:val="24"/>
        </w:rPr>
        <w:t xml:space="preserve">receive </w:t>
      </w:r>
      <w:r w:rsidR="00D77B3F">
        <w:rPr>
          <w:rFonts w:cs="Arial"/>
          <w:szCs w:val="24"/>
        </w:rPr>
        <w:t xml:space="preserve">£8million from the JV in </w:t>
      </w:r>
      <w:r w:rsidR="004B4440" w:rsidRPr="004B4440">
        <w:rPr>
          <w:rFonts w:cs="Arial"/>
          <w:szCs w:val="24"/>
        </w:rPr>
        <w:t>payment for its land</w:t>
      </w:r>
      <w:r w:rsidR="004B4440">
        <w:rPr>
          <w:rFonts w:cs="Arial"/>
          <w:szCs w:val="24"/>
        </w:rPr>
        <w:t>.</w:t>
      </w:r>
      <w:r w:rsidR="004B4440" w:rsidRPr="004B4440">
        <w:rPr>
          <w:rFonts w:cs="Arial"/>
          <w:szCs w:val="24"/>
        </w:rPr>
        <w:t xml:space="preserve"> </w:t>
      </w:r>
      <w:r w:rsidR="00963126">
        <w:rPr>
          <w:rFonts w:cs="Arial"/>
          <w:szCs w:val="24"/>
        </w:rPr>
        <w:t xml:space="preserve"> Th</w:t>
      </w:r>
      <w:r w:rsidR="00D77B3F">
        <w:rPr>
          <w:rFonts w:cs="Arial"/>
          <w:szCs w:val="24"/>
        </w:rPr>
        <w:t>e</w:t>
      </w:r>
      <w:r w:rsidR="00963126">
        <w:rPr>
          <w:rFonts w:cs="Arial"/>
          <w:szCs w:val="24"/>
        </w:rPr>
        <w:t xml:space="preserve"> </w:t>
      </w:r>
      <w:r w:rsidR="00D77B3F">
        <w:rPr>
          <w:rFonts w:cs="Arial"/>
          <w:szCs w:val="24"/>
        </w:rPr>
        <w:t xml:space="preserve">value of the loan </w:t>
      </w:r>
      <w:r w:rsidR="00A243CD">
        <w:rPr>
          <w:rFonts w:cs="Arial"/>
          <w:szCs w:val="24"/>
        </w:rPr>
        <w:t xml:space="preserve">may </w:t>
      </w:r>
      <w:r w:rsidR="00963126">
        <w:rPr>
          <w:rFonts w:cs="Arial"/>
          <w:szCs w:val="24"/>
        </w:rPr>
        <w:t>be reduced, depending on the terms agreed with a developer partner who may invest additional funds into the JV thereby reducing the Council’s share to be funded.</w:t>
      </w:r>
    </w:p>
    <w:p w:rsidR="00DC0A05" w:rsidRPr="00DC0A05" w:rsidRDefault="00963126" w:rsidP="00963126">
      <w:pPr>
        <w:pStyle w:val="PlainText"/>
        <w:ind w:left="360"/>
      </w:pPr>
      <w:r>
        <w:rPr>
          <w:rFonts w:cs="Arial"/>
        </w:rPr>
        <w:t xml:space="preserve"> </w:t>
      </w:r>
    </w:p>
    <w:p w:rsidR="00C34687" w:rsidRPr="00DC0A05" w:rsidRDefault="00C34687" w:rsidP="00DC0A05">
      <w:pPr>
        <w:pStyle w:val="PlainText"/>
        <w:numPr>
          <w:ilvl w:val="0"/>
          <w:numId w:val="3"/>
        </w:numPr>
      </w:pPr>
      <w:r w:rsidRPr="00DC0A05">
        <w:rPr>
          <w:rFonts w:cs="Arial"/>
          <w:szCs w:val="24"/>
        </w:rPr>
        <w:t>Provision of car parking is maintained for the period of the Westgate construction</w:t>
      </w:r>
      <w:r w:rsidR="00DC0A05">
        <w:rPr>
          <w:rFonts w:cs="Arial"/>
          <w:szCs w:val="24"/>
        </w:rPr>
        <w:t xml:space="preserve"> and a</w:t>
      </w:r>
      <w:r w:rsidRPr="00DC0A05">
        <w:rPr>
          <w:rFonts w:cs="Arial"/>
          <w:szCs w:val="24"/>
        </w:rPr>
        <w:t xml:space="preserve"> licence will be granted post this period</w:t>
      </w:r>
      <w:r w:rsidR="004B4440">
        <w:rPr>
          <w:rFonts w:cs="Arial"/>
          <w:szCs w:val="24"/>
        </w:rPr>
        <w:t>, up to</w:t>
      </w:r>
      <w:r w:rsidR="00DC0A05">
        <w:rPr>
          <w:rFonts w:cs="Arial"/>
          <w:szCs w:val="24"/>
        </w:rPr>
        <w:t xml:space="preserve"> 31</w:t>
      </w:r>
      <w:r w:rsidR="00DC0A05" w:rsidRPr="00DC0A05">
        <w:rPr>
          <w:rFonts w:cs="Arial"/>
          <w:szCs w:val="24"/>
          <w:vertAlign w:val="superscript"/>
        </w:rPr>
        <w:t>st</w:t>
      </w:r>
      <w:r w:rsidR="00DC0A05">
        <w:rPr>
          <w:rFonts w:cs="Arial"/>
          <w:szCs w:val="24"/>
        </w:rPr>
        <w:t xml:space="preserve"> May 2018, </w:t>
      </w:r>
      <w:r w:rsidRPr="00DC0A05">
        <w:rPr>
          <w:rFonts w:cs="Arial"/>
          <w:szCs w:val="24"/>
        </w:rPr>
        <w:t xml:space="preserve">to </w:t>
      </w:r>
      <w:r w:rsidR="00DC0A05">
        <w:rPr>
          <w:rFonts w:cs="Arial"/>
          <w:szCs w:val="24"/>
        </w:rPr>
        <w:t xml:space="preserve">accommodate any </w:t>
      </w:r>
      <w:r w:rsidR="00E510EF">
        <w:rPr>
          <w:rFonts w:cs="Arial"/>
          <w:szCs w:val="24"/>
        </w:rPr>
        <w:t xml:space="preserve">risk of construction </w:t>
      </w:r>
      <w:r w:rsidR="00DC0A05">
        <w:rPr>
          <w:rFonts w:cs="Arial"/>
          <w:szCs w:val="24"/>
        </w:rPr>
        <w:t xml:space="preserve">overruns and </w:t>
      </w:r>
      <w:r w:rsidRPr="00DC0A05">
        <w:rPr>
          <w:rFonts w:cs="Arial"/>
          <w:szCs w:val="24"/>
        </w:rPr>
        <w:t>enable deconstruction of the temporary car parking structure.</w:t>
      </w:r>
      <w:r w:rsidR="00E510EF">
        <w:rPr>
          <w:rFonts w:cs="Arial"/>
          <w:szCs w:val="24"/>
        </w:rPr>
        <w:t xml:space="preserve"> </w:t>
      </w:r>
      <w:r w:rsidR="00EE33A7">
        <w:rPr>
          <w:rFonts w:cs="Arial"/>
          <w:szCs w:val="24"/>
        </w:rPr>
        <w:t>Currently,</w:t>
      </w:r>
      <w:r w:rsidR="00E510EF">
        <w:rPr>
          <w:rFonts w:cs="Arial"/>
          <w:szCs w:val="24"/>
        </w:rPr>
        <w:t xml:space="preserve"> the Westgate development is on programme for opening before Christmas 2017.</w:t>
      </w:r>
      <w:r w:rsidRPr="00DC0A05">
        <w:rPr>
          <w:rFonts w:cs="Arial"/>
          <w:szCs w:val="24"/>
        </w:rPr>
        <w:t xml:space="preserve"> </w:t>
      </w:r>
    </w:p>
    <w:p w:rsidR="00DC0A05" w:rsidRPr="00C50790" w:rsidRDefault="00DC0A05" w:rsidP="00DC0A05">
      <w:pPr>
        <w:pStyle w:val="PlainText"/>
        <w:ind w:left="360"/>
      </w:pPr>
    </w:p>
    <w:p w:rsidR="00DC0A05" w:rsidRPr="00DC0A05" w:rsidRDefault="00C34687" w:rsidP="00C30E39">
      <w:pPr>
        <w:pStyle w:val="PlainText"/>
        <w:numPr>
          <w:ilvl w:val="0"/>
          <w:numId w:val="3"/>
        </w:numPr>
      </w:pPr>
      <w:r>
        <w:rPr>
          <w:rFonts w:cs="Arial"/>
          <w:szCs w:val="24"/>
        </w:rPr>
        <w:t xml:space="preserve">For the avoidance of </w:t>
      </w:r>
      <w:r w:rsidR="00EC1383">
        <w:rPr>
          <w:rFonts w:cs="Arial"/>
          <w:szCs w:val="24"/>
        </w:rPr>
        <w:t xml:space="preserve">doubt, </w:t>
      </w:r>
      <w:r w:rsidR="00DC0A05">
        <w:rPr>
          <w:rFonts w:cs="Arial"/>
          <w:szCs w:val="24"/>
        </w:rPr>
        <w:t>the land</w:t>
      </w:r>
      <w:r w:rsidR="004B4440">
        <w:rPr>
          <w:rFonts w:cs="Arial"/>
          <w:szCs w:val="24"/>
        </w:rPr>
        <w:t xml:space="preserve"> to be</w:t>
      </w:r>
      <w:r w:rsidR="00DC0A05">
        <w:rPr>
          <w:rFonts w:cs="Arial"/>
          <w:szCs w:val="24"/>
        </w:rPr>
        <w:t xml:space="preserve"> transfer</w:t>
      </w:r>
      <w:r w:rsidR="00963126">
        <w:rPr>
          <w:rFonts w:cs="Arial"/>
          <w:szCs w:val="24"/>
        </w:rPr>
        <w:t>red does</w:t>
      </w:r>
      <w:r w:rsidR="00DC0A05">
        <w:rPr>
          <w:rFonts w:cs="Arial"/>
          <w:szCs w:val="24"/>
        </w:rPr>
        <w:t xml:space="preserve"> not include </w:t>
      </w:r>
      <w:r>
        <w:rPr>
          <w:rFonts w:cs="Arial"/>
          <w:szCs w:val="24"/>
        </w:rPr>
        <w:t>the Ice-</w:t>
      </w:r>
      <w:r w:rsidR="00DC0A05">
        <w:rPr>
          <w:rFonts w:cs="Arial"/>
          <w:szCs w:val="24"/>
        </w:rPr>
        <w:t xml:space="preserve">rink or the </w:t>
      </w:r>
      <w:proofErr w:type="spellStart"/>
      <w:r w:rsidR="00DC0A05">
        <w:rPr>
          <w:rFonts w:cs="Arial"/>
          <w:szCs w:val="24"/>
        </w:rPr>
        <w:t>Oxpens</w:t>
      </w:r>
      <w:proofErr w:type="spellEnd"/>
      <w:r w:rsidR="00DC0A05">
        <w:rPr>
          <w:rFonts w:cs="Arial"/>
          <w:szCs w:val="24"/>
        </w:rPr>
        <w:t xml:space="preserve"> Meadow (</w:t>
      </w:r>
      <w:r w:rsidR="007D1D08">
        <w:rPr>
          <w:rFonts w:cs="Arial"/>
          <w:szCs w:val="24"/>
        </w:rPr>
        <w:t>s</w:t>
      </w:r>
      <w:r w:rsidR="00DC0A05">
        <w:rPr>
          <w:rFonts w:cs="Arial"/>
          <w:szCs w:val="24"/>
        </w:rPr>
        <w:t xml:space="preserve">ee </w:t>
      </w:r>
      <w:r w:rsidR="007D1D08">
        <w:rPr>
          <w:rFonts w:cs="Arial"/>
          <w:szCs w:val="24"/>
        </w:rPr>
        <w:t>p</w:t>
      </w:r>
      <w:r w:rsidR="00DC0A05">
        <w:rPr>
          <w:rFonts w:cs="Arial"/>
          <w:szCs w:val="24"/>
        </w:rPr>
        <w:t>lan attached)</w:t>
      </w:r>
      <w:r w:rsidR="00E510EF">
        <w:rPr>
          <w:rFonts w:cs="Arial"/>
          <w:szCs w:val="24"/>
        </w:rPr>
        <w:t>, and provision has been made to retain 50 parking spaces for the ice rink, in addition to any other public car parking</w:t>
      </w:r>
      <w:r w:rsidR="00DC0A05">
        <w:rPr>
          <w:rFonts w:cs="Arial"/>
          <w:szCs w:val="24"/>
        </w:rPr>
        <w:t>.</w:t>
      </w:r>
    </w:p>
    <w:p w:rsidR="00DC0A05" w:rsidRDefault="00DC0A05" w:rsidP="00DC0A05">
      <w:pPr>
        <w:pStyle w:val="ListParagraph"/>
        <w:rPr>
          <w:rFonts w:cs="Arial"/>
        </w:rPr>
      </w:pPr>
    </w:p>
    <w:p w:rsidR="004B4440" w:rsidRDefault="004B4440" w:rsidP="00C815B6">
      <w:pPr>
        <w:pStyle w:val="ListParagraph"/>
        <w:spacing w:after="120"/>
        <w:ind w:left="357"/>
        <w:contextualSpacing w:val="0"/>
        <w:rPr>
          <w:b/>
        </w:rPr>
      </w:pPr>
      <w:r w:rsidRPr="004B4440">
        <w:rPr>
          <w:b/>
        </w:rPr>
        <w:t>Fees</w:t>
      </w:r>
      <w:r>
        <w:rPr>
          <w:b/>
        </w:rPr>
        <w:t xml:space="preserve"> and Costs</w:t>
      </w:r>
    </w:p>
    <w:p w:rsidR="006E1B1D" w:rsidRDefault="00DC0A05" w:rsidP="00C30E39">
      <w:pPr>
        <w:pStyle w:val="PlainText"/>
        <w:numPr>
          <w:ilvl w:val="0"/>
          <w:numId w:val="3"/>
        </w:numPr>
      </w:pPr>
      <w:r>
        <w:t xml:space="preserve">The Company requires working capital </w:t>
      </w:r>
      <w:r w:rsidR="004B4440">
        <w:t xml:space="preserve">to cover costs </w:t>
      </w:r>
      <w:r w:rsidR="002E3DA8">
        <w:t>including</w:t>
      </w:r>
      <w:r w:rsidR="004B4440">
        <w:t xml:space="preserve"> the appointment of auditors, accountants and payment of insurances.</w:t>
      </w:r>
      <w:r w:rsidR="006E1B1D">
        <w:t xml:space="preserve"> These are expected to be covered by rental income from occupational leases.</w:t>
      </w:r>
      <w:r w:rsidR="004B4440">
        <w:t xml:space="preserve"> </w:t>
      </w:r>
    </w:p>
    <w:p w:rsidR="006E1B1D" w:rsidRDefault="006E1B1D" w:rsidP="006E1B1D">
      <w:pPr>
        <w:pStyle w:val="PlainText"/>
        <w:ind w:left="360"/>
      </w:pPr>
    </w:p>
    <w:p w:rsidR="00884BAB" w:rsidRPr="00884BAB" w:rsidRDefault="004B4440" w:rsidP="00C30E39">
      <w:pPr>
        <w:pStyle w:val="PlainText"/>
        <w:numPr>
          <w:ilvl w:val="0"/>
          <w:numId w:val="3"/>
        </w:numPr>
      </w:pPr>
      <w:r>
        <w:t>In addition</w:t>
      </w:r>
      <w:r w:rsidR="007D1D08">
        <w:t>;</w:t>
      </w:r>
      <w:r>
        <w:t xml:space="preserve"> </w:t>
      </w:r>
      <w:r w:rsidR="006E1B1D">
        <w:t xml:space="preserve">the Company will incur costs associated with </w:t>
      </w:r>
      <w:r w:rsidR="006E1B1D">
        <w:rPr>
          <w:rFonts w:cs="Arial"/>
        </w:rPr>
        <w:t xml:space="preserve">legal, property and technical fees to undertake the marketing exercise to secure a developer partner. These activities were originally anticipated as being covered by the Council </w:t>
      </w:r>
      <w:r w:rsidR="00884BAB">
        <w:rPr>
          <w:rFonts w:cs="Arial"/>
        </w:rPr>
        <w:t xml:space="preserve">as a single partner but will now be </w:t>
      </w:r>
      <w:r w:rsidR="00E510EF">
        <w:rPr>
          <w:rFonts w:cs="Arial"/>
        </w:rPr>
        <w:t>undertaken</w:t>
      </w:r>
      <w:r w:rsidR="00884BAB">
        <w:rPr>
          <w:rFonts w:cs="Arial"/>
        </w:rPr>
        <w:t xml:space="preserve"> jointly</w:t>
      </w:r>
      <w:r w:rsidR="002E3DA8">
        <w:rPr>
          <w:rFonts w:cs="Arial"/>
        </w:rPr>
        <w:t xml:space="preserve"> </w:t>
      </w:r>
      <w:r w:rsidR="00884BAB">
        <w:rPr>
          <w:rFonts w:cs="Arial"/>
        </w:rPr>
        <w:t>with Nuffield College through the OXWED</w:t>
      </w:r>
      <w:r w:rsidR="00F7474C">
        <w:rPr>
          <w:rFonts w:cs="Arial"/>
        </w:rPr>
        <w:t xml:space="preserve"> </w:t>
      </w:r>
      <w:r w:rsidR="00884BAB">
        <w:rPr>
          <w:rFonts w:cs="Arial"/>
        </w:rPr>
        <w:t xml:space="preserve">company. </w:t>
      </w:r>
      <w:r w:rsidR="008C703F">
        <w:rPr>
          <w:rFonts w:cs="Arial"/>
        </w:rPr>
        <w:t xml:space="preserve">The CEB report of January 2016 made </w:t>
      </w:r>
      <w:r w:rsidR="000049F7">
        <w:rPr>
          <w:rFonts w:cs="Arial"/>
        </w:rPr>
        <w:t>provision for up to</w:t>
      </w:r>
      <w:r w:rsidR="008C703F">
        <w:rPr>
          <w:rFonts w:cs="Arial"/>
        </w:rPr>
        <w:t xml:space="preserve"> £150k to be invested in the company to cover these fees and £50k </w:t>
      </w:r>
      <w:r w:rsidR="00BA5A7B">
        <w:rPr>
          <w:rFonts w:cs="Arial"/>
        </w:rPr>
        <w:t>was initially</w:t>
      </w:r>
      <w:r w:rsidR="008C703F">
        <w:rPr>
          <w:rFonts w:cs="Arial"/>
        </w:rPr>
        <w:t xml:space="preserve"> allocated as working capital. </w:t>
      </w:r>
    </w:p>
    <w:p w:rsidR="00884BAB" w:rsidRDefault="00884BAB" w:rsidP="00884BAB">
      <w:pPr>
        <w:pStyle w:val="ListParagraph"/>
        <w:rPr>
          <w:rFonts w:cs="Arial"/>
        </w:rPr>
      </w:pPr>
    </w:p>
    <w:p w:rsidR="00EF09E9" w:rsidRPr="009F2F56" w:rsidRDefault="001D7C8A" w:rsidP="00C30E39">
      <w:pPr>
        <w:pStyle w:val="PlainText"/>
        <w:numPr>
          <w:ilvl w:val="0"/>
          <w:numId w:val="3"/>
        </w:numPr>
      </w:pPr>
      <w:r>
        <w:rPr>
          <w:rFonts w:cs="Arial"/>
        </w:rPr>
        <w:t>The company has since incurred unexpected one off insurance premiums connected to the land sale</w:t>
      </w:r>
      <w:r w:rsidR="008B3C93">
        <w:rPr>
          <w:rFonts w:cs="Arial"/>
        </w:rPr>
        <w:t>.  Consequently, t</w:t>
      </w:r>
      <w:r w:rsidR="008C703F">
        <w:rPr>
          <w:rFonts w:cs="Arial"/>
        </w:rPr>
        <w:t xml:space="preserve">he OXWED Board has requested that each partner increases its contribution to working capital by a further £50k. </w:t>
      </w:r>
      <w:r>
        <w:rPr>
          <w:rFonts w:cs="Arial"/>
        </w:rPr>
        <w:t xml:space="preserve"> </w:t>
      </w:r>
      <w:r w:rsidR="008C703F">
        <w:rPr>
          <w:rFonts w:cs="Arial"/>
        </w:rPr>
        <w:t>Therefore,</w:t>
      </w:r>
      <w:r w:rsidR="006E1B1D">
        <w:rPr>
          <w:rFonts w:cs="Arial"/>
        </w:rPr>
        <w:t xml:space="preserve"> </w:t>
      </w:r>
      <w:r w:rsidR="008C703F">
        <w:rPr>
          <w:rFonts w:cs="Arial"/>
        </w:rPr>
        <w:t xml:space="preserve">a total of </w:t>
      </w:r>
      <w:r w:rsidR="006E1B1D">
        <w:rPr>
          <w:rFonts w:cs="Arial"/>
        </w:rPr>
        <w:t xml:space="preserve">£100k </w:t>
      </w:r>
      <w:r w:rsidR="008C703F">
        <w:rPr>
          <w:rFonts w:cs="Arial"/>
        </w:rPr>
        <w:t xml:space="preserve">of the £150k </w:t>
      </w:r>
      <w:r w:rsidR="006729BE">
        <w:rPr>
          <w:rFonts w:cs="Arial"/>
        </w:rPr>
        <w:t xml:space="preserve">fees </w:t>
      </w:r>
      <w:r w:rsidR="008B3C93">
        <w:rPr>
          <w:rFonts w:cs="Arial"/>
        </w:rPr>
        <w:t>provision</w:t>
      </w:r>
      <w:r w:rsidR="008C703F">
        <w:rPr>
          <w:rFonts w:cs="Arial"/>
        </w:rPr>
        <w:t xml:space="preserve"> will </w:t>
      </w:r>
      <w:r w:rsidR="006729BE">
        <w:rPr>
          <w:rFonts w:cs="Arial"/>
        </w:rPr>
        <w:t xml:space="preserve">now </w:t>
      </w:r>
      <w:r w:rsidR="008C703F">
        <w:rPr>
          <w:rFonts w:cs="Arial"/>
        </w:rPr>
        <w:t>be invested in</w:t>
      </w:r>
      <w:r w:rsidR="006E1B1D">
        <w:rPr>
          <w:rFonts w:cs="Arial"/>
        </w:rPr>
        <w:t xml:space="preserve"> the Company, as additional </w:t>
      </w:r>
      <w:r w:rsidR="00F7474C">
        <w:rPr>
          <w:rFonts w:cs="Arial"/>
        </w:rPr>
        <w:t>loan stock</w:t>
      </w:r>
      <w:r w:rsidR="007633E0">
        <w:rPr>
          <w:rFonts w:cs="Arial"/>
        </w:rPr>
        <w:t xml:space="preserve">. </w:t>
      </w:r>
      <w:r w:rsidR="006E1B1D">
        <w:rPr>
          <w:rFonts w:cs="Arial"/>
        </w:rPr>
        <w:t>Nuffield College</w:t>
      </w:r>
      <w:r w:rsidR="00780C2D">
        <w:rPr>
          <w:rFonts w:cs="Arial"/>
        </w:rPr>
        <w:t xml:space="preserve"> </w:t>
      </w:r>
      <w:r w:rsidR="007633E0">
        <w:rPr>
          <w:rFonts w:cs="Arial"/>
        </w:rPr>
        <w:t xml:space="preserve">will also invest £100k. </w:t>
      </w:r>
      <w:r w:rsidR="006E1B1D">
        <w:rPr>
          <w:rFonts w:cs="Arial"/>
        </w:rPr>
        <w:t xml:space="preserve"> </w:t>
      </w:r>
    </w:p>
    <w:p w:rsidR="009F2F56" w:rsidRDefault="009F2F56" w:rsidP="009F2F56">
      <w:pPr>
        <w:pStyle w:val="ListParagraph"/>
      </w:pPr>
    </w:p>
    <w:p w:rsidR="005423F4" w:rsidRPr="00C65AE4" w:rsidRDefault="005423F4" w:rsidP="00C815B6">
      <w:pPr>
        <w:spacing w:after="120"/>
        <w:rPr>
          <w:rFonts w:cs="Arial"/>
          <w:b/>
        </w:rPr>
      </w:pPr>
      <w:r w:rsidRPr="00C65AE4">
        <w:rPr>
          <w:rFonts w:cs="Arial"/>
          <w:b/>
        </w:rPr>
        <w:t>Legal and Procurement Issues</w:t>
      </w:r>
    </w:p>
    <w:p w:rsidR="0004640D" w:rsidRDefault="00C65AE4" w:rsidP="00EE3880">
      <w:pPr>
        <w:numPr>
          <w:ilvl w:val="0"/>
          <w:numId w:val="3"/>
        </w:numPr>
        <w:contextualSpacing/>
        <w:rPr>
          <w:rFonts w:cs="Arial"/>
        </w:rPr>
      </w:pPr>
      <w:r>
        <w:rPr>
          <w:rFonts w:cs="Arial"/>
        </w:rPr>
        <w:t>No new legal issues arise out of the matters set out in this report.</w:t>
      </w:r>
    </w:p>
    <w:p w:rsidR="00481013" w:rsidRDefault="00481013" w:rsidP="00C6513B">
      <w:pPr>
        <w:ind w:left="360"/>
        <w:contextualSpacing/>
        <w:rPr>
          <w:rFonts w:cs="Arial"/>
        </w:rPr>
      </w:pPr>
    </w:p>
    <w:p w:rsidR="00481013" w:rsidRPr="00C6513B" w:rsidRDefault="00481013" w:rsidP="00C6513B">
      <w:pPr>
        <w:ind w:left="360"/>
        <w:contextualSpacing/>
        <w:rPr>
          <w:rFonts w:cs="Arial"/>
        </w:rPr>
      </w:pPr>
    </w:p>
    <w:p w:rsidR="00EC1383" w:rsidRDefault="007B6E54" w:rsidP="00491484">
      <w:pPr>
        <w:spacing w:after="120"/>
        <w:rPr>
          <w:rFonts w:cs="Arial"/>
          <w:b/>
        </w:rPr>
      </w:pPr>
      <w:r w:rsidRPr="00C30E39">
        <w:rPr>
          <w:rFonts w:cs="Arial"/>
          <w:b/>
        </w:rPr>
        <w:t>Financial Issues</w:t>
      </w:r>
      <w:r w:rsidR="00411A07" w:rsidRPr="00C30E39">
        <w:rPr>
          <w:rFonts w:cs="Arial"/>
          <w:b/>
        </w:rPr>
        <w:t xml:space="preserve"> &amp; Due Diligence</w:t>
      </w:r>
    </w:p>
    <w:p w:rsidR="00DE76D8" w:rsidRPr="00184BC1" w:rsidRDefault="0050021F" w:rsidP="00184BC1">
      <w:pPr>
        <w:pStyle w:val="ListParagraph"/>
        <w:numPr>
          <w:ilvl w:val="0"/>
          <w:numId w:val="3"/>
        </w:numPr>
        <w:rPr>
          <w:rFonts w:cs="Arial"/>
          <w:color w:val="000000" w:themeColor="text1"/>
        </w:rPr>
      </w:pPr>
      <w:r w:rsidRPr="00C70CD7">
        <w:rPr>
          <w:rFonts w:cs="Arial"/>
          <w:color w:val="000000" w:themeColor="text1"/>
        </w:rPr>
        <w:t xml:space="preserve">The Council has sufficient financial resources to meet its share of the cost of acquiring the </w:t>
      </w:r>
      <w:r w:rsidR="00963126" w:rsidRPr="00C70CD7">
        <w:rPr>
          <w:rFonts w:cs="Arial"/>
          <w:color w:val="000000" w:themeColor="text1"/>
        </w:rPr>
        <w:t xml:space="preserve">Council </w:t>
      </w:r>
      <w:r w:rsidRPr="00C70CD7">
        <w:rPr>
          <w:rFonts w:cs="Arial"/>
          <w:color w:val="000000" w:themeColor="text1"/>
        </w:rPr>
        <w:t>land</w:t>
      </w:r>
      <w:r w:rsidR="007633E0">
        <w:rPr>
          <w:rFonts w:cs="Arial"/>
          <w:color w:val="000000" w:themeColor="text1"/>
        </w:rPr>
        <w:t>.</w:t>
      </w:r>
      <w:r w:rsidR="00481013">
        <w:rPr>
          <w:rFonts w:cs="Arial"/>
          <w:color w:val="000000" w:themeColor="text1"/>
        </w:rPr>
        <w:t xml:space="preserve"> </w:t>
      </w:r>
      <w:r w:rsidR="00A243CD" w:rsidRPr="00C70CD7">
        <w:rPr>
          <w:rFonts w:cs="Arial"/>
          <w:color w:val="000000" w:themeColor="text1"/>
        </w:rPr>
        <w:t xml:space="preserve">This will be funded from the </w:t>
      </w:r>
      <w:r w:rsidR="00A243CD" w:rsidRPr="00C70CD7">
        <w:rPr>
          <w:rFonts w:cs="Arial"/>
        </w:rPr>
        <w:t xml:space="preserve">Capital Receipt </w:t>
      </w:r>
      <w:r w:rsidR="00A243CD" w:rsidRPr="00C70CD7">
        <w:rPr>
          <w:rFonts w:cs="Arial"/>
        </w:rPr>
        <w:lastRenderedPageBreak/>
        <w:t xml:space="preserve">received from the sale of the land. </w:t>
      </w:r>
      <w:r w:rsidR="00F41072">
        <w:rPr>
          <w:rFonts w:cs="Arial"/>
        </w:rPr>
        <w:t>The investment will count as loan stock and attract interest of 6.5%</w:t>
      </w:r>
      <w:r w:rsidR="00F41072" w:rsidRPr="00F41072">
        <w:rPr>
          <w:rFonts w:cs="Arial"/>
          <w:color w:val="000000" w:themeColor="text1"/>
        </w:rPr>
        <w:t xml:space="preserve"> </w:t>
      </w:r>
      <w:r w:rsidR="00F41072" w:rsidRPr="00EC1383">
        <w:rPr>
          <w:rFonts w:cs="Arial"/>
          <w:color w:val="000000" w:themeColor="text1"/>
        </w:rPr>
        <w:t>as per the terms in the shareholders agreement.</w:t>
      </w:r>
    </w:p>
    <w:p w:rsidR="00F41072" w:rsidRPr="00F41072" w:rsidRDefault="00F41072" w:rsidP="00F41072">
      <w:pPr>
        <w:pStyle w:val="ListParagraph"/>
        <w:rPr>
          <w:rFonts w:cs="Arial"/>
          <w:color w:val="000000" w:themeColor="text1"/>
        </w:rPr>
      </w:pPr>
    </w:p>
    <w:p w:rsidR="00F41072" w:rsidRDefault="00F41072" w:rsidP="00F41072">
      <w:pPr>
        <w:pStyle w:val="ListParagraph"/>
        <w:numPr>
          <w:ilvl w:val="0"/>
          <w:numId w:val="3"/>
        </w:numPr>
        <w:rPr>
          <w:rFonts w:cs="Arial"/>
          <w:color w:val="000000" w:themeColor="text1"/>
        </w:rPr>
      </w:pPr>
      <w:r w:rsidRPr="00EC1383">
        <w:rPr>
          <w:rFonts w:cs="Arial"/>
          <w:color w:val="000000" w:themeColor="text1"/>
        </w:rPr>
        <w:t xml:space="preserve">The Councils </w:t>
      </w:r>
      <w:r>
        <w:rPr>
          <w:rFonts w:cs="Arial"/>
          <w:color w:val="000000" w:themeColor="text1"/>
        </w:rPr>
        <w:t>£</w:t>
      </w:r>
      <w:r w:rsidRPr="00EC1383">
        <w:rPr>
          <w:rFonts w:cs="Arial"/>
          <w:color w:val="000000" w:themeColor="text1"/>
        </w:rPr>
        <w:t>100k investment in the company will count as loan stock and attract interest of 6.5% p.a. as per the terms in the shareholders agreement</w:t>
      </w:r>
      <w:r w:rsidR="00184BC1">
        <w:rPr>
          <w:rFonts w:cs="Arial"/>
          <w:color w:val="000000" w:themeColor="text1"/>
        </w:rPr>
        <w:t>.</w:t>
      </w:r>
      <w:r w:rsidR="001D7C8A">
        <w:rPr>
          <w:rFonts w:cs="Arial"/>
          <w:color w:val="000000" w:themeColor="text1"/>
        </w:rPr>
        <w:t xml:space="preserve">  </w:t>
      </w:r>
    </w:p>
    <w:p w:rsidR="00184BC1" w:rsidRDefault="00184BC1" w:rsidP="00184BC1">
      <w:pPr>
        <w:pStyle w:val="ListParagraph"/>
        <w:ind w:left="360"/>
        <w:rPr>
          <w:rFonts w:cs="Arial"/>
          <w:color w:val="000000" w:themeColor="text1"/>
        </w:rPr>
      </w:pPr>
    </w:p>
    <w:p w:rsidR="00184BC1" w:rsidRDefault="00184BC1" w:rsidP="00184BC1">
      <w:pPr>
        <w:pStyle w:val="ListParagraph"/>
        <w:numPr>
          <w:ilvl w:val="0"/>
          <w:numId w:val="3"/>
        </w:numPr>
        <w:rPr>
          <w:rFonts w:cs="Arial"/>
          <w:color w:val="000000" w:themeColor="text1"/>
        </w:rPr>
      </w:pPr>
      <w:r w:rsidRPr="00184BC1">
        <w:rPr>
          <w:rFonts w:cs="Arial"/>
          <w:b/>
          <w:color w:val="000000" w:themeColor="text1"/>
        </w:rPr>
        <w:t>Timeframes for receipts</w:t>
      </w:r>
      <w:r w:rsidRPr="00184BC1">
        <w:rPr>
          <w:rFonts w:cs="Arial"/>
          <w:color w:val="000000" w:themeColor="text1"/>
        </w:rPr>
        <w:t>: The Council will receive its land payment of £8 million at around the same time that it makes its investment of £4.16 million, allowing for normal transactional processing times. The anticipated date for completion of the sale is December 2017.</w:t>
      </w:r>
      <w:r>
        <w:rPr>
          <w:rFonts w:cs="Arial"/>
          <w:color w:val="000000" w:themeColor="text1"/>
        </w:rPr>
        <w:t xml:space="preserve"> Returns </w:t>
      </w:r>
      <w:r w:rsidR="00481013">
        <w:rPr>
          <w:rFonts w:cs="Arial"/>
          <w:color w:val="000000" w:themeColor="text1"/>
        </w:rPr>
        <w:t>on loan stock will be funded fro</w:t>
      </w:r>
      <w:r>
        <w:rPr>
          <w:rFonts w:cs="Arial"/>
          <w:color w:val="000000" w:themeColor="text1"/>
        </w:rPr>
        <w:t>m receipts from sales of land parcels post-planning.</w:t>
      </w:r>
    </w:p>
    <w:p w:rsidR="00184BC1" w:rsidRPr="00184BC1" w:rsidRDefault="00184BC1" w:rsidP="00184BC1">
      <w:pPr>
        <w:pStyle w:val="ListParagraph"/>
        <w:rPr>
          <w:rFonts w:cs="Arial"/>
          <w:color w:val="000000" w:themeColor="text1"/>
        </w:rPr>
      </w:pPr>
    </w:p>
    <w:p w:rsidR="00184BC1" w:rsidRPr="00184BC1" w:rsidRDefault="00330EAF" w:rsidP="00184BC1">
      <w:pPr>
        <w:pStyle w:val="ListParagraph"/>
        <w:numPr>
          <w:ilvl w:val="0"/>
          <w:numId w:val="3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Table 1 – </w:t>
      </w:r>
      <w:proofErr w:type="spellStart"/>
      <w:r>
        <w:rPr>
          <w:rFonts w:cs="Arial"/>
          <w:color w:val="000000" w:themeColor="text1"/>
        </w:rPr>
        <w:t>Cashflow</w:t>
      </w:r>
      <w:proofErr w:type="spellEnd"/>
      <w:r>
        <w:rPr>
          <w:rFonts w:cs="Arial"/>
          <w:color w:val="000000" w:themeColor="text1"/>
        </w:rPr>
        <w:t xml:space="preserve"> Scenario </w:t>
      </w:r>
    </w:p>
    <w:p w:rsidR="00184BC1" w:rsidRDefault="00184BC1" w:rsidP="00184BC1">
      <w:pPr>
        <w:rPr>
          <w:rFonts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1151"/>
        <w:gridCol w:w="1361"/>
        <w:gridCol w:w="1361"/>
        <w:gridCol w:w="1383"/>
        <w:gridCol w:w="1146"/>
      </w:tblGrid>
      <w:tr w:rsidR="00184BC1" w:rsidTr="00330EAF">
        <w:tc>
          <w:tcPr>
            <w:tcW w:w="2120" w:type="dxa"/>
          </w:tcPr>
          <w:p w:rsidR="00184BC1" w:rsidRDefault="00184BC1" w:rsidP="00184BC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51" w:type="dxa"/>
          </w:tcPr>
          <w:p w:rsidR="00184BC1" w:rsidRPr="00330EAF" w:rsidRDefault="00184BC1" w:rsidP="00184BC1">
            <w:pPr>
              <w:rPr>
                <w:rFonts w:cs="Arial"/>
                <w:b/>
                <w:color w:val="000000" w:themeColor="text1"/>
              </w:rPr>
            </w:pPr>
            <w:r w:rsidRPr="00330EAF">
              <w:rPr>
                <w:rFonts w:cs="Arial"/>
                <w:b/>
                <w:color w:val="000000" w:themeColor="text1"/>
              </w:rPr>
              <w:t>2017-18</w:t>
            </w:r>
          </w:p>
        </w:tc>
        <w:tc>
          <w:tcPr>
            <w:tcW w:w="1361" w:type="dxa"/>
          </w:tcPr>
          <w:p w:rsidR="00184BC1" w:rsidRPr="00330EAF" w:rsidRDefault="00184BC1" w:rsidP="00184BC1">
            <w:pPr>
              <w:rPr>
                <w:rFonts w:cs="Arial"/>
                <w:b/>
                <w:color w:val="000000" w:themeColor="text1"/>
              </w:rPr>
            </w:pPr>
            <w:r w:rsidRPr="00330EAF">
              <w:rPr>
                <w:rFonts w:cs="Arial"/>
                <w:b/>
                <w:color w:val="000000" w:themeColor="text1"/>
              </w:rPr>
              <w:t>2018-19</w:t>
            </w:r>
          </w:p>
        </w:tc>
        <w:tc>
          <w:tcPr>
            <w:tcW w:w="1361" w:type="dxa"/>
          </w:tcPr>
          <w:p w:rsidR="00184BC1" w:rsidRPr="00330EAF" w:rsidRDefault="00184BC1" w:rsidP="00184BC1">
            <w:pPr>
              <w:rPr>
                <w:rFonts w:cs="Arial"/>
                <w:b/>
                <w:color w:val="000000" w:themeColor="text1"/>
              </w:rPr>
            </w:pPr>
            <w:r w:rsidRPr="00330EAF">
              <w:rPr>
                <w:rFonts w:cs="Arial"/>
                <w:b/>
                <w:color w:val="000000" w:themeColor="text1"/>
              </w:rPr>
              <w:t>2019-20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184BC1" w:rsidRPr="00330EAF" w:rsidRDefault="00184BC1" w:rsidP="00184BC1">
            <w:pPr>
              <w:rPr>
                <w:rFonts w:cs="Arial"/>
                <w:b/>
                <w:color w:val="000000" w:themeColor="text1"/>
              </w:rPr>
            </w:pPr>
            <w:r w:rsidRPr="00330EAF">
              <w:rPr>
                <w:rFonts w:cs="Arial"/>
                <w:b/>
                <w:color w:val="000000" w:themeColor="text1"/>
              </w:rPr>
              <w:t>2020+</w:t>
            </w:r>
          </w:p>
        </w:tc>
        <w:tc>
          <w:tcPr>
            <w:tcW w:w="1146" w:type="dxa"/>
            <w:tcBorders>
              <w:left w:val="single" w:sz="12" w:space="0" w:color="auto"/>
            </w:tcBorders>
          </w:tcPr>
          <w:p w:rsidR="00184BC1" w:rsidRPr="00330EAF" w:rsidRDefault="00330EAF" w:rsidP="00184BC1">
            <w:pPr>
              <w:rPr>
                <w:rFonts w:cs="Arial"/>
                <w:b/>
                <w:color w:val="000000" w:themeColor="text1"/>
              </w:rPr>
            </w:pPr>
            <w:r w:rsidRPr="00330EAF">
              <w:rPr>
                <w:rFonts w:cs="Arial"/>
                <w:b/>
                <w:color w:val="000000" w:themeColor="text1"/>
              </w:rPr>
              <w:t>£m Total</w:t>
            </w:r>
          </w:p>
        </w:tc>
      </w:tr>
      <w:tr w:rsidR="00184BC1" w:rsidTr="00330EAF">
        <w:tc>
          <w:tcPr>
            <w:tcW w:w="2120" w:type="dxa"/>
          </w:tcPr>
          <w:p w:rsidR="00184BC1" w:rsidRDefault="00184BC1" w:rsidP="00184BC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Loan stock investment to company for share of Council land</w:t>
            </w:r>
            <w:r w:rsidR="00330EAF">
              <w:rPr>
                <w:rFonts w:cs="Arial"/>
                <w:color w:val="000000" w:themeColor="text1"/>
              </w:rPr>
              <w:t xml:space="preserve"> &amp; working capital</w:t>
            </w:r>
          </w:p>
        </w:tc>
        <w:tc>
          <w:tcPr>
            <w:tcW w:w="1151" w:type="dxa"/>
          </w:tcPr>
          <w:p w:rsidR="00184BC1" w:rsidRDefault="00330EAF" w:rsidP="00184BC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(4.26)</w:t>
            </w:r>
          </w:p>
        </w:tc>
        <w:tc>
          <w:tcPr>
            <w:tcW w:w="1361" w:type="dxa"/>
          </w:tcPr>
          <w:p w:rsidR="00184BC1" w:rsidRDefault="00184BC1" w:rsidP="00184BC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</w:tcPr>
          <w:p w:rsidR="00184BC1" w:rsidRDefault="00184BC1" w:rsidP="00184BC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184BC1" w:rsidRDefault="00184BC1" w:rsidP="00184BC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</w:tcPr>
          <w:p w:rsidR="00184BC1" w:rsidRPr="00481013" w:rsidRDefault="00330EAF" w:rsidP="00184BC1">
            <w:pPr>
              <w:rPr>
                <w:rFonts w:cs="Arial"/>
                <w:b/>
                <w:color w:val="000000" w:themeColor="text1"/>
              </w:rPr>
            </w:pPr>
            <w:r w:rsidRPr="00481013">
              <w:rPr>
                <w:rFonts w:cs="Arial"/>
                <w:b/>
                <w:color w:val="000000" w:themeColor="text1"/>
              </w:rPr>
              <w:t>(4.26)</w:t>
            </w:r>
          </w:p>
        </w:tc>
      </w:tr>
      <w:tr w:rsidR="00184BC1" w:rsidTr="00330EAF">
        <w:tc>
          <w:tcPr>
            <w:tcW w:w="2120" w:type="dxa"/>
          </w:tcPr>
          <w:p w:rsidR="00184BC1" w:rsidRDefault="00184BC1" w:rsidP="00184BC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Receipt for Council Land</w:t>
            </w:r>
          </w:p>
        </w:tc>
        <w:tc>
          <w:tcPr>
            <w:tcW w:w="1151" w:type="dxa"/>
          </w:tcPr>
          <w:p w:rsidR="00184BC1" w:rsidRDefault="00330EAF" w:rsidP="00184BC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1361" w:type="dxa"/>
          </w:tcPr>
          <w:p w:rsidR="00184BC1" w:rsidRDefault="00184BC1" w:rsidP="00184BC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</w:tcPr>
          <w:p w:rsidR="00184BC1" w:rsidRDefault="00184BC1" w:rsidP="00184BC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184BC1" w:rsidRDefault="00184BC1" w:rsidP="00184BC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</w:tcPr>
          <w:p w:rsidR="00184BC1" w:rsidRPr="00481013" w:rsidRDefault="00330EAF" w:rsidP="00184BC1">
            <w:pPr>
              <w:rPr>
                <w:rFonts w:cs="Arial"/>
                <w:b/>
                <w:color w:val="000000" w:themeColor="text1"/>
              </w:rPr>
            </w:pPr>
            <w:r w:rsidRPr="00481013">
              <w:rPr>
                <w:rFonts w:cs="Arial"/>
                <w:b/>
                <w:color w:val="000000" w:themeColor="text1"/>
              </w:rPr>
              <w:t>8</w:t>
            </w:r>
          </w:p>
        </w:tc>
      </w:tr>
      <w:tr w:rsidR="00184BC1" w:rsidTr="00330EAF">
        <w:tc>
          <w:tcPr>
            <w:tcW w:w="2120" w:type="dxa"/>
          </w:tcPr>
          <w:p w:rsidR="00184BC1" w:rsidRDefault="00184BC1" w:rsidP="00184BC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Accrued Interest on loan stock</w:t>
            </w:r>
          </w:p>
        </w:tc>
        <w:tc>
          <w:tcPr>
            <w:tcW w:w="1151" w:type="dxa"/>
          </w:tcPr>
          <w:p w:rsidR="00184BC1" w:rsidRDefault="00184BC1" w:rsidP="00184BC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</w:tcPr>
          <w:p w:rsidR="00184BC1" w:rsidRDefault="00184BC1" w:rsidP="00184BC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</w:tcPr>
          <w:p w:rsidR="00184BC1" w:rsidRDefault="00184BC1" w:rsidP="00184BC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184BC1" w:rsidRDefault="00330EAF" w:rsidP="00184BC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0.885</w:t>
            </w:r>
          </w:p>
        </w:tc>
        <w:tc>
          <w:tcPr>
            <w:tcW w:w="1146" w:type="dxa"/>
            <w:tcBorders>
              <w:left w:val="single" w:sz="12" w:space="0" w:color="auto"/>
            </w:tcBorders>
          </w:tcPr>
          <w:p w:rsidR="00184BC1" w:rsidRPr="00481013" w:rsidRDefault="00330EAF" w:rsidP="00184BC1">
            <w:pPr>
              <w:rPr>
                <w:rFonts w:cs="Arial"/>
                <w:b/>
                <w:color w:val="000000" w:themeColor="text1"/>
              </w:rPr>
            </w:pPr>
            <w:r w:rsidRPr="00481013">
              <w:rPr>
                <w:rFonts w:cs="Arial"/>
                <w:b/>
                <w:color w:val="000000" w:themeColor="text1"/>
              </w:rPr>
              <w:t>0.885</w:t>
            </w:r>
          </w:p>
        </w:tc>
      </w:tr>
      <w:tr w:rsidR="00184BC1" w:rsidTr="00330EAF">
        <w:tc>
          <w:tcPr>
            <w:tcW w:w="2120" w:type="dxa"/>
            <w:tcBorders>
              <w:bottom w:val="single" w:sz="12" w:space="0" w:color="auto"/>
            </w:tcBorders>
          </w:tcPr>
          <w:p w:rsidR="00184BC1" w:rsidRDefault="00184BC1" w:rsidP="00184BC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Reimbursement of loan stock</w:t>
            </w:r>
          </w:p>
        </w:tc>
        <w:tc>
          <w:tcPr>
            <w:tcW w:w="1151" w:type="dxa"/>
            <w:tcBorders>
              <w:bottom w:val="single" w:sz="12" w:space="0" w:color="auto"/>
            </w:tcBorders>
          </w:tcPr>
          <w:p w:rsidR="00184BC1" w:rsidRDefault="00184BC1" w:rsidP="00184BC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184BC1" w:rsidRDefault="00184BC1" w:rsidP="00184BC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184BC1" w:rsidRDefault="00184BC1" w:rsidP="00184BC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184BC1" w:rsidRDefault="00330EAF" w:rsidP="00184BC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4.26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</w:tcPr>
          <w:p w:rsidR="00184BC1" w:rsidRPr="00481013" w:rsidRDefault="00330EAF" w:rsidP="00184BC1">
            <w:pPr>
              <w:rPr>
                <w:rFonts w:cs="Arial"/>
                <w:b/>
                <w:color w:val="000000" w:themeColor="text1"/>
              </w:rPr>
            </w:pPr>
            <w:r w:rsidRPr="00481013">
              <w:rPr>
                <w:rFonts w:cs="Arial"/>
                <w:b/>
                <w:color w:val="000000" w:themeColor="text1"/>
              </w:rPr>
              <w:t>4.26</w:t>
            </w:r>
          </w:p>
        </w:tc>
      </w:tr>
      <w:tr w:rsidR="00184BC1" w:rsidTr="00330EAF">
        <w:tc>
          <w:tcPr>
            <w:tcW w:w="2120" w:type="dxa"/>
            <w:tcBorders>
              <w:top w:val="single" w:sz="12" w:space="0" w:color="auto"/>
              <w:bottom w:val="single" w:sz="12" w:space="0" w:color="auto"/>
            </w:tcBorders>
          </w:tcPr>
          <w:p w:rsidR="00184BC1" w:rsidRPr="00330EAF" w:rsidRDefault="00330EAF" w:rsidP="00184BC1">
            <w:pPr>
              <w:rPr>
                <w:rFonts w:cs="Arial"/>
                <w:b/>
                <w:color w:val="000000" w:themeColor="text1"/>
              </w:rPr>
            </w:pPr>
            <w:r w:rsidRPr="00330EAF">
              <w:rPr>
                <w:rFonts w:cs="Arial"/>
                <w:b/>
                <w:color w:val="000000" w:themeColor="text1"/>
              </w:rPr>
              <w:t>Net return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</w:tcPr>
          <w:p w:rsidR="00184BC1" w:rsidRPr="00481013" w:rsidRDefault="00330EAF" w:rsidP="00184BC1">
            <w:pPr>
              <w:rPr>
                <w:rFonts w:cs="Arial"/>
                <w:b/>
                <w:color w:val="000000" w:themeColor="text1"/>
              </w:rPr>
            </w:pPr>
            <w:r w:rsidRPr="00481013">
              <w:rPr>
                <w:rFonts w:cs="Arial"/>
                <w:b/>
                <w:color w:val="000000" w:themeColor="text1"/>
              </w:rPr>
              <w:t>3.74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184BC1" w:rsidRPr="00481013" w:rsidRDefault="00184BC1" w:rsidP="00184BC1">
            <w:pPr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184BC1" w:rsidRPr="00481013" w:rsidRDefault="00184BC1" w:rsidP="00184BC1">
            <w:pPr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BC1" w:rsidRPr="00481013" w:rsidRDefault="00481013" w:rsidP="00184BC1">
            <w:pPr>
              <w:rPr>
                <w:rFonts w:cs="Arial"/>
                <w:b/>
                <w:color w:val="000000" w:themeColor="text1"/>
              </w:rPr>
            </w:pPr>
            <w:r w:rsidRPr="00481013">
              <w:rPr>
                <w:rFonts w:cs="Arial"/>
                <w:b/>
                <w:color w:val="000000" w:themeColor="text1"/>
              </w:rPr>
              <w:t>5.145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4BC1" w:rsidRPr="00481013" w:rsidRDefault="00481013" w:rsidP="00184BC1">
            <w:pPr>
              <w:rPr>
                <w:rFonts w:cs="Arial"/>
                <w:b/>
                <w:color w:val="000000" w:themeColor="text1"/>
              </w:rPr>
            </w:pPr>
            <w:r w:rsidRPr="00481013">
              <w:rPr>
                <w:rFonts w:cs="Arial"/>
                <w:b/>
                <w:color w:val="000000" w:themeColor="text1"/>
              </w:rPr>
              <w:t>8.885</w:t>
            </w:r>
          </w:p>
        </w:tc>
      </w:tr>
    </w:tbl>
    <w:p w:rsidR="00DE76D8" w:rsidRPr="00481013" w:rsidRDefault="00DE76D8" w:rsidP="00481013">
      <w:pPr>
        <w:rPr>
          <w:rFonts w:cs="Arial"/>
          <w:color w:val="000000" w:themeColor="text1"/>
        </w:rPr>
      </w:pPr>
    </w:p>
    <w:p w:rsidR="00DE76D8" w:rsidRDefault="00DE76D8" w:rsidP="00DE76D8">
      <w:pPr>
        <w:pStyle w:val="ListParagraph"/>
        <w:numPr>
          <w:ilvl w:val="0"/>
          <w:numId w:val="3"/>
        </w:numPr>
        <w:rPr>
          <w:rFonts w:cs="Arial"/>
          <w:color w:val="000000" w:themeColor="text1"/>
        </w:rPr>
      </w:pPr>
      <w:r w:rsidRPr="00DE76D8">
        <w:rPr>
          <w:rFonts w:cs="Arial"/>
          <w:b/>
          <w:color w:val="000000" w:themeColor="text1"/>
        </w:rPr>
        <w:t>It is recommended that</w:t>
      </w:r>
      <w:r>
        <w:rPr>
          <w:rFonts w:cs="Arial"/>
          <w:color w:val="000000" w:themeColor="text1"/>
        </w:rPr>
        <w:t xml:space="preserve">: </w:t>
      </w:r>
    </w:p>
    <w:p w:rsidR="00DE76D8" w:rsidRPr="00DE76D8" w:rsidRDefault="00DE76D8" w:rsidP="00DE76D8">
      <w:pPr>
        <w:pStyle w:val="ListParagraph"/>
        <w:rPr>
          <w:rFonts w:cs="Arial"/>
          <w:color w:val="000000" w:themeColor="text1"/>
        </w:rPr>
      </w:pPr>
    </w:p>
    <w:p w:rsidR="00DE76D8" w:rsidRDefault="00DE76D8" w:rsidP="00DE76D8">
      <w:pPr>
        <w:pStyle w:val="ListParagraph"/>
        <w:numPr>
          <w:ilvl w:val="1"/>
          <w:numId w:val="3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Council establishes a </w:t>
      </w:r>
      <w:r w:rsidRPr="00DE76D8">
        <w:rPr>
          <w:rFonts w:cs="Arial"/>
          <w:color w:val="000000" w:themeColor="text1"/>
        </w:rPr>
        <w:t xml:space="preserve">capital budget of £4.16 million in the Council’s General Fund Capital Programme in 2017/18 </w:t>
      </w:r>
      <w:r>
        <w:rPr>
          <w:rFonts w:cs="Arial"/>
          <w:color w:val="000000" w:themeColor="text1"/>
        </w:rPr>
        <w:t xml:space="preserve">in order that the loan investment can be made, this to be </w:t>
      </w:r>
      <w:r w:rsidRPr="00DE76D8">
        <w:rPr>
          <w:rFonts w:cs="Arial"/>
          <w:color w:val="000000" w:themeColor="text1"/>
        </w:rPr>
        <w:t>funded from the Capital Receipt rec</w:t>
      </w:r>
      <w:r>
        <w:rPr>
          <w:rFonts w:cs="Arial"/>
          <w:color w:val="000000" w:themeColor="text1"/>
        </w:rPr>
        <w:t xml:space="preserve">eived from the sale of the land. </w:t>
      </w:r>
    </w:p>
    <w:p w:rsidR="00481013" w:rsidRPr="00DE76D8" w:rsidRDefault="00481013" w:rsidP="00481013">
      <w:pPr>
        <w:pStyle w:val="ListParagraph"/>
        <w:ind w:left="1080"/>
        <w:rPr>
          <w:rFonts w:cs="Arial"/>
          <w:color w:val="000000" w:themeColor="text1"/>
        </w:rPr>
      </w:pPr>
    </w:p>
    <w:p w:rsidR="00504DBC" w:rsidRPr="00C70CD7" w:rsidRDefault="00504DBC" w:rsidP="00C70CD7">
      <w:pPr>
        <w:rPr>
          <w:rFonts w:cs="Arial"/>
          <w:highlight w:val="yellow"/>
        </w:rPr>
      </w:pPr>
    </w:p>
    <w:p w:rsidR="00492BBD" w:rsidRDefault="007B6E54" w:rsidP="00C815B6">
      <w:pPr>
        <w:spacing w:after="120"/>
        <w:rPr>
          <w:rFonts w:cs="Arial"/>
          <w:b/>
        </w:rPr>
      </w:pPr>
      <w:r w:rsidRPr="00C30E39">
        <w:rPr>
          <w:rFonts w:cs="Arial"/>
          <w:b/>
        </w:rPr>
        <w:t>Environmental Impact</w:t>
      </w:r>
    </w:p>
    <w:p w:rsidR="007B6E54" w:rsidRPr="00C30E39" w:rsidRDefault="006007C6" w:rsidP="00215E5F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The land</w:t>
      </w:r>
      <w:r w:rsidR="0017117A" w:rsidRPr="00C30E39">
        <w:rPr>
          <w:rFonts w:cs="Arial"/>
        </w:rPr>
        <w:t xml:space="preserve"> is on the Council’s Prioritised list under Part 2A of the Environmental </w:t>
      </w:r>
      <w:r w:rsidR="00931890" w:rsidRPr="00C30E39">
        <w:rPr>
          <w:rFonts w:cs="Arial"/>
        </w:rPr>
        <w:t>P</w:t>
      </w:r>
      <w:r w:rsidR="0017117A" w:rsidRPr="00C30E39">
        <w:rPr>
          <w:rFonts w:cs="Arial"/>
        </w:rPr>
        <w:t>rotection Act 1990 and an intrusive investigation will be required as a condition of planning for any proposed change of use. Remediation will be required to make the land suitable for residential use.</w:t>
      </w:r>
      <w:r>
        <w:rPr>
          <w:rFonts w:cs="Arial"/>
        </w:rPr>
        <w:t xml:space="preserve"> The Council has already received desktop assessments on the potential ground conditions and has made allowances for ground works in its financial assessments.</w:t>
      </w:r>
    </w:p>
    <w:p w:rsidR="00BD48CF" w:rsidRPr="00C30E39" w:rsidRDefault="00BD48CF" w:rsidP="00097CA8">
      <w:pPr>
        <w:pStyle w:val="ListParagraph"/>
        <w:ind w:left="360"/>
        <w:rPr>
          <w:rFonts w:cs="Arial"/>
        </w:rPr>
      </w:pPr>
    </w:p>
    <w:p w:rsidR="00097CA8" w:rsidRPr="00C30E39" w:rsidRDefault="0017117A" w:rsidP="00215E5F">
      <w:pPr>
        <w:pStyle w:val="ListParagraph"/>
        <w:numPr>
          <w:ilvl w:val="0"/>
          <w:numId w:val="3"/>
        </w:numPr>
        <w:rPr>
          <w:rFonts w:cs="Arial"/>
        </w:rPr>
      </w:pPr>
      <w:r w:rsidRPr="00C30E39">
        <w:rPr>
          <w:rFonts w:cs="Arial"/>
        </w:rPr>
        <w:lastRenderedPageBreak/>
        <w:t>The project provides the opportunity to remediate or remove the historic landfill on the site</w:t>
      </w:r>
      <w:r w:rsidR="009674CE" w:rsidRPr="00C30E39">
        <w:rPr>
          <w:rFonts w:cs="Arial"/>
        </w:rPr>
        <w:t xml:space="preserve"> and to improve the flood capacity of the </w:t>
      </w:r>
      <w:proofErr w:type="spellStart"/>
      <w:r w:rsidR="009674CE" w:rsidRPr="00C30E39">
        <w:rPr>
          <w:rFonts w:cs="Arial"/>
        </w:rPr>
        <w:t>Oxpens</w:t>
      </w:r>
      <w:proofErr w:type="spellEnd"/>
      <w:r w:rsidR="009674CE" w:rsidRPr="00C30E39">
        <w:rPr>
          <w:rFonts w:cs="Arial"/>
        </w:rPr>
        <w:t xml:space="preserve"> area</w:t>
      </w:r>
      <w:r w:rsidR="00EA169E">
        <w:rPr>
          <w:rFonts w:cs="Arial"/>
        </w:rPr>
        <w:t>.</w:t>
      </w:r>
    </w:p>
    <w:p w:rsidR="00097CA8" w:rsidRPr="00C30E39" w:rsidRDefault="00097CA8" w:rsidP="00097CA8">
      <w:pPr>
        <w:pStyle w:val="ListParagraph"/>
        <w:rPr>
          <w:rFonts w:cs="Arial"/>
          <w:b/>
        </w:rPr>
      </w:pPr>
    </w:p>
    <w:p w:rsidR="00097CA8" w:rsidRPr="00C30E39" w:rsidRDefault="007B6E54" w:rsidP="00491484">
      <w:pPr>
        <w:pStyle w:val="ListParagraph"/>
        <w:spacing w:after="120"/>
        <w:ind w:left="0"/>
        <w:contextualSpacing w:val="0"/>
        <w:rPr>
          <w:rFonts w:cs="Arial"/>
        </w:rPr>
      </w:pPr>
      <w:bookmarkStart w:id="0" w:name="_GoBack"/>
      <w:bookmarkEnd w:id="0"/>
      <w:r w:rsidRPr="00C30E39">
        <w:rPr>
          <w:rFonts w:cs="Arial"/>
          <w:b/>
        </w:rPr>
        <w:t>Equalities Impact</w:t>
      </w:r>
    </w:p>
    <w:p w:rsidR="0017117A" w:rsidRPr="00C6513B" w:rsidRDefault="0017117A" w:rsidP="00C6513B">
      <w:pPr>
        <w:pStyle w:val="ListParagraph"/>
        <w:numPr>
          <w:ilvl w:val="0"/>
          <w:numId w:val="3"/>
        </w:numPr>
        <w:rPr>
          <w:rFonts w:cs="Arial"/>
        </w:rPr>
      </w:pPr>
      <w:r w:rsidRPr="00C30E39">
        <w:rPr>
          <w:rFonts w:cs="Arial"/>
          <w:snapToGrid w:val="0"/>
          <w:color w:val="000000"/>
        </w:rPr>
        <w:t xml:space="preserve">The Initial Assessment is that the contents of this report do not lead to any unjustifiable differential </w:t>
      </w:r>
      <w:r w:rsidRPr="00C30E39">
        <w:rPr>
          <w:rFonts w:cs="Arial"/>
          <w:snapToGrid w:val="0"/>
        </w:rPr>
        <w:t>impact on relevant groups.</w:t>
      </w:r>
      <w:r w:rsidR="006862AF" w:rsidRPr="00C30E39">
        <w:rPr>
          <w:rFonts w:cs="Arial"/>
          <w:snapToGrid w:val="0"/>
        </w:rPr>
        <w:t xml:space="preserve"> </w:t>
      </w:r>
      <w:r w:rsidRPr="00C30E39">
        <w:rPr>
          <w:rFonts w:cs="Arial"/>
        </w:rPr>
        <w:t>The project will provide an important means to deliver new private and affordable housing and commercial spaces in support of economic development and the creation of new jobs.</w:t>
      </w:r>
    </w:p>
    <w:p w:rsidR="00713675" w:rsidRPr="00C30E39" w:rsidRDefault="00713675" w:rsidP="0071367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13675" w:rsidRPr="00C30E39">
        <w:tc>
          <w:tcPr>
            <w:tcW w:w="8522" w:type="dxa"/>
          </w:tcPr>
          <w:p w:rsidR="00713675" w:rsidRPr="00C30E39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</w:rPr>
            </w:pPr>
            <w:r w:rsidRPr="00C30E39">
              <w:rPr>
                <w:rFonts w:cs="Arial"/>
                <w:b/>
                <w:bCs/>
              </w:rPr>
              <w:t>Name and contact details of author:-</w:t>
            </w:r>
          </w:p>
        </w:tc>
      </w:tr>
      <w:tr w:rsidR="00713675" w:rsidRPr="00C30E39">
        <w:tc>
          <w:tcPr>
            <w:tcW w:w="8522" w:type="dxa"/>
          </w:tcPr>
          <w:p w:rsidR="00713675" w:rsidRPr="00C30E39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</w:rPr>
            </w:pPr>
          </w:p>
          <w:p w:rsidR="00713675" w:rsidRPr="00C30E39" w:rsidRDefault="00713675" w:rsidP="00432A3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</w:rPr>
            </w:pPr>
            <w:r w:rsidRPr="00C30E39">
              <w:rPr>
                <w:rFonts w:cs="Arial"/>
              </w:rPr>
              <w:t>Name</w:t>
            </w:r>
            <w:r w:rsidR="006862AF" w:rsidRPr="00C30E39">
              <w:rPr>
                <w:rFonts w:cs="Arial"/>
              </w:rPr>
              <w:t xml:space="preserve"> </w:t>
            </w:r>
            <w:r w:rsidR="006862AF" w:rsidRPr="00C30E39">
              <w:rPr>
                <w:rFonts w:cs="Arial"/>
                <w:b/>
              </w:rPr>
              <w:t>F</w:t>
            </w:r>
            <w:r w:rsidR="00EF366A" w:rsidRPr="00C30E39">
              <w:rPr>
                <w:rFonts w:cs="Arial"/>
                <w:b/>
              </w:rPr>
              <w:t>iona</w:t>
            </w:r>
            <w:r w:rsidR="00432A3D" w:rsidRPr="00C30E39">
              <w:rPr>
                <w:rFonts w:cs="Arial"/>
                <w:b/>
              </w:rPr>
              <w:t xml:space="preserve"> </w:t>
            </w:r>
            <w:r w:rsidR="006862AF" w:rsidRPr="00C30E39">
              <w:rPr>
                <w:rFonts w:cs="Arial"/>
                <w:b/>
              </w:rPr>
              <w:t>Piercy</w:t>
            </w:r>
          </w:p>
        </w:tc>
      </w:tr>
      <w:tr w:rsidR="00713675" w:rsidRPr="00C30E39">
        <w:tc>
          <w:tcPr>
            <w:tcW w:w="8522" w:type="dxa"/>
          </w:tcPr>
          <w:p w:rsidR="00713675" w:rsidRPr="00C30E39" w:rsidRDefault="00713675" w:rsidP="00AD3A6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</w:rPr>
            </w:pPr>
            <w:r w:rsidRPr="00C30E39">
              <w:rPr>
                <w:rFonts w:cs="Arial"/>
              </w:rPr>
              <w:t>Service Area</w:t>
            </w:r>
            <w:r w:rsidR="006862AF" w:rsidRPr="00C30E39">
              <w:rPr>
                <w:rFonts w:cs="Arial"/>
              </w:rPr>
              <w:t xml:space="preserve">: </w:t>
            </w:r>
            <w:r w:rsidR="006862AF" w:rsidRPr="00C30E39">
              <w:rPr>
                <w:rFonts w:cs="Arial"/>
                <w:b/>
              </w:rPr>
              <w:t>Regeneration &amp; Housing</w:t>
            </w:r>
          </w:p>
        </w:tc>
      </w:tr>
      <w:tr w:rsidR="00713675" w:rsidRPr="00C30E39">
        <w:tc>
          <w:tcPr>
            <w:tcW w:w="8522" w:type="dxa"/>
          </w:tcPr>
          <w:p w:rsidR="00713675" w:rsidRPr="00C30E39" w:rsidRDefault="00713675" w:rsidP="006862A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  <w:color w:val="0000FF"/>
                <w:u w:val="single"/>
              </w:rPr>
            </w:pPr>
            <w:r w:rsidRPr="00C30E39">
              <w:rPr>
                <w:rFonts w:cs="Arial"/>
              </w:rPr>
              <w:t xml:space="preserve">Tel:  </w:t>
            </w:r>
            <w:r w:rsidRPr="00C30E39">
              <w:rPr>
                <w:rFonts w:cs="Arial"/>
                <w:b/>
              </w:rPr>
              <w:t xml:space="preserve">01865 </w:t>
            </w:r>
            <w:r w:rsidR="006862AF" w:rsidRPr="00C30E39">
              <w:rPr>
                <w:rFonts w:cs="Arial"/>
                <w:b/>
              </w:rPr>
              <w:t>252185</w:t>
            </w:r>
            <w:r w:rsidRPr="00C30E39">
              <w:rPr>
                <w:rFonts w:cs="Arial"/>
              </w:rPr>
              <w:t xml:space="preserve">  e-mail:  </w:t>
            </w:r>
            <w:hyperlink r:id="rId10" w:history="1">
              <w:r w:rsidR="00931890" w:rsidRPr="00C30E39">
                <w:rPr>
                  <w:rStyle w:val="Hyperlink"/>
                  <w:rFonts w:cs="Arial"/>
                  <w:b/>
                </w:rPr>
                <w:t>fpiercy@oxford.gov.uk</w:t>
              </w:r>
            </w:hyperlink>
          </w:p>
        </w:tc>
      </w:tr>
    </w:tbl>
    <w:p w:rsidR="00F4367A" w:rsidRPr="00C30E39" w:rsidRDefault="00F4367A">
      <w:pPr>
        <w:rPr>
          <w:rFonts w:cs="Arial"/>
          <w:b/>
          <w:bCs/>
        </w:rPr>
      </w:pPr>
    </w:p>
    <w:p w:rsidR="00623C2F" w:rsidRPr="00C30E39" w:rsidRDefault="00623C2F">
      <w:pPr>
        <w:rPr>
          <w:rFonts w:cs="Arial"/>
          <w:bCs/>
          <w:i/>
        </w:rPr>
      </w:pPr>
    </w:p>
    <w:p w:rsidR="007B6E54" w:rsidRDefault="00EF366A">
      <w:pPr>
        <w:rPr>
          <w:rFonts w:cs="Arial"/>
          <w:bCs/>
        </w:rPr>
      </w:pPr>
      <w:r w:rsidRPr="00C30E39">
        <w:rPr>
          <w:rFonts w:cs="Arial"/>
          <w:b/>
          <w:bCs/>
        </w:rPr>
        <w:t xml:space="preserve">Background Papers: </w:t>
      </w:r>
      <w:r w:rsidR="007210BC">
        <w:rPr>
          <w:rFonts w:cs="Arial"/>
          <w:bCs/>
        </w:rPr>
        <w:t>None.</w:t>
      </w:r>
    </w:p>
    <w:p w:rsidR="00EC31CD" w:rsidRDefault="00EC31CD">
      <w:pPr>
        <w:rPr>
          <w:rFonts w:cs="Arial"/>
          <w:bCs/>
        </w:rPr>
      </w:pPr>
    </w:p>
    <w:p w:rsidR="00EC31CD" w:rsidRDefault="00EC31CD">
      <w:pPr>
        <w:rPr>
          <w:rFonts w:cs="Arial"/>
          <w:bCs/>
        </w:rPr>
      </w:pPr>
    </w:p>
    <w:sectPr w:rsidR="00EC31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BF" w:rsidRDefault="00E774BF">
      <w:r>
        <w:separator/>
      </w:r>
    </w:p>
  </w:endnote>
  <w:endnote w:type="continuationSeparator" w:id="0">
    <w:p w:rsidR="00E774BF" w:rsidRDefault="00E7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9F" w:rsidRDefault="00222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9F" w:rsidRDefault="002229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9F" w:rsidRDefault="00222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BF" w:rsidRDefault="00E774BF">
      <w:r>
        <w:separator/>
      </w:r>
    </w:p>
  </w:footnote>
  <w:footnote w:type="continuationSeparator" w:id="0">
    <w:p w:rsidR="00E774BF" w:rsidRDefault="00E7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9F" w:rsidRDefault="00222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9F" w:rsidRDefault="002229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9F" w:rsidRDefault="00222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57"/>
    <w:multiLevelType w:val="hybridMultilevel"/>
    <w:tmpl w:val="75CE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4A91"/>
    <w:multiLevelType w:val="hybridMultilevel"/>
    <w:tmpl w:val="53E876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A63AB7"/>
    <w:multiLevelType w:val="hybridMultilevel"/>
    <w:tmpl w:val="94B67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21D9"/>
    <w:multiLevelType w:val="hybridMultilevel"/>
    <w:tmpl w:val="02C48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1BE9"/>
    <w:multiLevelType w:val="hybridMultilevel"/>
    <w:tmpl w:val="D02A7C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55916"/>
    <w:multiLevelType w:val="hybridMultilevel"/>
    <w:tmpl w:val="BB263E4A"/>
    <w:lvl w:ilvl="0" w:tplc="9F82D5B2">
      <w:start w:val="1"/>
      <w:numFmt w:val="decimal"/>
      <w:lvlText w:val="%1."/>
      <w:lvlJc w:val="left"/>
      <w:pPr>
        <w:ind w:left="3405" w:hanging="30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62B72"/>
    <w:multiLevelType w:val="hybridMultilevel"/>
    <w:tmpl w:val="C53E6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901EED"/>
    <w:multiLevelType w:val="hybridMultilevel"/>
    <w:tmpl w:val="39247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37132"/>
    <w:multiLevelType w:val="hybridMultilevel"/>
    <w:tmpl w:val="A4A61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5A30E9"/>
    <w:multiLevelType w:val="hybridMultilevel"/>
    <w:tmpl w:val="AE50B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2186F"/>
    <w:multiLevelType w:val="hybridMultilevel"/>
    <w:tmpl w:val="225A1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82B8B"/>
    <w:multiLevelType w:val="hybridMultilevel"/>
    <w:tmpl w:val="27928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930BC"/>
    <w:multiLevelType w:val="hybridMultilevel"/>
    <w:tmpl w:val="09763D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113326"/>
    <w:multiLevelType w:val="hybridMultilevel"/>
    <w:tmpl w:val="D3C60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96538"/>
    <w:multiLevelType w:val="hybridMultilevel"/>
    <w:tmpl w:val="75E07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D0144"/>
    <w:multiLevelType w:val="hybridMultilevel"/>
    <w:tmpl w:val="87321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1211C"/>
    <w:multiLevelType w:val="multilevel"/>
    <w:tmpl w:val="DA405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6C42202"/>
    <w:multiLevelType w:val="hybridMultilevel"/>
    <w:tmpl w:val="E316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D38B6"/>
    <w:multiLevelType w:val="hybridMultilevel"/>
    <w:tmpl w:val="D39A7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D5DB7"/>
    <w:multiLevelType w:val="hybridMultilevel"/>
    <w:tmpl w:val="BDCCD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17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5"/>
  </w:num>
  <w:num w:numId="11">
    <w:abstractNumId w:val="18"/>
  </w:num>
  <w:num w:numId="12">
    <w:abstractNumId w:val="12"/>
  </w:num>
  <w:num w:numId="13">
    <w:abstractNumId w:val="19"/>
  </w:num>
  <w:num w:numId="14">
    <w:abstractNumId w:val="13"/>
  </w:num>
  <w:num w:numId="15">
    <w:abstractNumId w:val="11"/>
  </w:num>
  <w:num w:numId="16">
    <w:abstractNumId w:val="0"/>
  </w:num>
  <w:num w:numId="17">
    <w:abstractNumId w:val="8"/>
  </w:num>
  <w:num w:numId="18">
    <w:abstractNumId w:val="4"/>
  </w:num>
  <w:num w:numId="19">
    <w:abstractNumId w:val="16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03510"/>
    <w:rsid w:val="000049F7"/>
    <w:rsid w:val="00004EFA"/>
    <w:rsid w:val="00007EBE"/>
    <w:rsid w:val="00025808"/>
    <w:rsid w:val="00035EB8"/>
    <w:rsid w:val="000456F9"/>
    <w:rsid w:val="0004640D"/>
    <w:rsid w:val="00054C9E"/>
    <w:rsid w:val="00055BA8"/>
    <w:rsid w:val="00056263"/>
    <w:rsid w:val="0006675C"/>
    <w:rsid w:val="000826EB"/>
    <w:rsid w:val="000863F9"/>
    <w:rsid w:val="0009009C"/>
    <w:rsid w:val="00097CA8"/>
    <w:rsid w:val="000A11CD"/>
    <w:rsid w:val="000A4547"/>
    <w:rsid w:val="000B143F"/>
    <w:rsid w:val="000B3FA0"/>
    <w:rsid w:val="000C1B7A"/>
    <w:rsid w:val="000C312C"/>
    <w:rsid w:val="000C3928"/>
    <w:rsid w:val="000D5FCF"/>
    <w:rsid w:val="000D6A3D"/>
    <w:rsid w:val="000E1B60"/>
    <w:rsid w:val="000E6BFB"/>
    <w:rsid w:val="001102D1"/>
    <w:rsid w:val="001107CC"/>
    <w:rsid w:val="00110CDF"/>
    <w:rsid w:val="001148A0"/>
    <w:rsid w:val="001214F6"/>
    <w:rsid w:val="00121CC1"/>
    <w:rsid w:val="00130443"/>
    <w:rsid w:val="00137412"/>
    <w:rsid w:val="00144C39"/>
    <w:rsid w:val="00152602"/>
    <w:rsid w:val="00161A25"/>
    <w:rsid w:val="001620B0"/>
    <w:rsid w:val="00165A53"/>
    <w:rsid w:val="0017117A"/>
    <w:rsid w:val="0018253F"/>
    <w:rsid w:val="00184BC1"/>
    <w:rsid w:val="001A40DC"/>
    <w:rsid w:val="001B5673"/>
    <w:rsid w:val="001C1306"/>
    <w:rsid w:val="001C3FEE"/>
    <w:rsid w:val="001C481E"/>
    <w:rsid w:val="001D24BA"/>
    <w:rsid w:val="001D300B"/>
    <w:rsid w:val="001D49A5"/>
    <w:rsid w:val="001D7C8A"/>
    <w:rsid w:val="001E3C83"/>
    <w:rsid w:val="001F522B"/>
    <w:rsid w:val="00215E5F"/>
    <w:rsid w:val="0022299F"/>
    <w:rsid w:val="002255F7"/>
    <w:rsid w:val="00237DB7"/>
    <w:rsid w:val="00243E22"/>
    <w:rsid w:val="00251F05"/>
    <w:rsid w:val="0025326E"/>
    <w:rsid w:val="00261A9B"/>
    <w:rsid w:val="002626A7"/>
    <w:rsid w:val="002666AB"/>
    <w:rsid w:val="00272D9E"/>
    <w:rsid w:val="002749CD"/>
    <w:rsid w:val="00280740"/>
    <w:rsid w:val="002A06C9"/>
    <w:rsid w:val="002C408E"/>
    <w:rsid w:val="002C6AA8"/>
    <w:rsid w:val="002D4172"/>
    <w:rsid w:val="002D5B51"/>
    <w:rsid w:val="002E0609"/>
    <w:rsid w:val="002E2CA6"/>
    <w:rsid w:val="002E3DA8"/>
    <w:rsid w:val="002F0048"/>
    <w:rsid w:val="00302F9D"/>
    <w:rsid w:val="00315F0B"/>
    <w:rsid w:val="00321CAA"/>
    <w:rsid w:val="00330EAF"/>
    <w:rsid w:val="0033223B"/>
    <w:rsid w:val="003421AB"/>
    <w:rsid w:val="00354B29"/>
    <w:rsid w:val="003579D9"/>
    <w:rsid w:val="00362E23"/>
    <w:rsid w:val="0036530E"/>
    <w:rsid w:val="003714FC"/>
    <w:rsid w:val="00372E82"/>
    <w:rsid w:val="003906BE"/>
    <w:rsid w:val="00394EC9"/>
    <w:rsid w:val="003978DC"/>
    <w:rsid w:val="00397FF9"/>
    <w:rsid w:val="003A1D0C"/>
    <w:rsid w:val="003B037D"/>
    <w:rsid w:val="003B6212"/>
    <w:rsid w:val="003B75E6"/>
    <w:rsid w:val="003C00CD"/>
    <w:rsid w:val="003C1BFE"/>
    <w:rsid w:val="003C25A2"/>
    <w:rsid w:val="003C77F2"/>
    <w:rsid w:val="003D44B6"/>
    <w:rsid w:val="003D5B6B"/>
    <w:rsid w:val="003E3543"/>
    <w:rsid w:val="004026FD"/>
    <w:rsid w:val="004038C3"/>
    <w:rsid w:val="00407313"/>
    <w:rsid w:val="00411A07"/>
    <w:rsid w:val="00422C98"/>
    <w:rsid w:val="004274AA"/>
    <w:rsid w:val="00432A3D"/>
    <w:rsid w:val="00440192"/>
    <w:rsid w:val="00454FE9"/>
    <w:rsid w:val="00465EAF"/>
    <w:rsid w:val="00467B25"/>
    <w:rsid w:val="0048016E"/>
    <w:rsid w:val="00481013"/>
    <w:rsid w:val="00482D49"/>
    <w:rsid w:val="00487CE9"/>
    <w:rsid w:val="00491484"/>
    <w:rsid w:val="00491D8F"/>
    <w:rsid w:val="00492BBD"/>
    <w:rsid w:val="004960D2"/>
    <w:rsid w:val="00496214"/>
    <w:rsid w:val="004B0617"/>
    <w:rsid w:val="004B0B33"/>
    <w:rsid w:val="004B2C5E"/>
    <w:rsid w:val="004B4440"/>
    <w:rsid w:val="004B54B9"/>
    <w:rsid w:val="004C5A4E"/>
    <w:rsid w:val="004C7B71"/>
    <w:rsid w:val="004D08CA"/>
    <w:rsid w:val="004D5FD7"/>
    <w:rsid w:val="004E66D1"/>
    <w:rsid w:val="0050021F"/>
    <w:rsid w:val="00500940"/>
    <w:rsid w:val="0050389B"/>
    <w:rsid w:val="00504DBC"/>
    <w:rsid w:val="00505B5C"/>
    <w:rsid w:val="005063CB"/>
    <w:rsid w:val="00510725"/>
    <w:rsid w:val="00514631"/>
    <w:rsid w:val="0052634D"/>
    <w:rsid w:val="00531B8A"/>
    <w:rsid w:val="005423F4"/>
    <w:rsid w:val="00542873"/>
    <w:rsid w:val="005500D1"/>
    <w:rsid w:val="00552C45"/>
    <w:rsid w:val="00555369"/>
    <w:rsid w:val="00584460"/>
    <w:rsid w:val="005A2BDB"/>
    <w:rsid w:val="005A6796"/>
    <w:rsid w:val="005A7857"/>
    <w:rsid w:val="005B570D"/>
    <w:rsid w:val="005B6DE3"/>
    <w:rsid w:val="005C5682"/>
    <w:rsid w:val="005E77D9"/>
    <w:rsid w:val="005F086D"/>
    <w:rsid w:val="005F36F5"/>
    <w:rsid w:val="005F4EC6"/>
    <w:rsid w:val="005F5F61"/>
    <w:rsid w:val="006004A4"/>
    <w:rsid w:val="006007C6"/>
    <w:rsid w:val="0061576D"/>
    <w:rsid w:val="006204F7"/>
    <w:rsid w:val="00623C2F"/>
    <w:rsid w:val="00630097"/>
    <w:rsid w:val="006371F9"/>
    <w:rsid w:val="00641690"/>
    <w:rsid w:val="00644794"/>
    <w:rsid w:val="00644FF8"/>
    <w:rsid w:val="00647353"/>
    <w:rsid w:val="006579D1"/>
    <w:rsid w:val="00661954"/>
    <w:rsid w:val="00665D25"/>
    <w:rsid w:val="00667588"/>
    <w:rsid w:val="00670EAC"/>
    <w:rsid w:val="006729BE"/>
    <w:rsid w:val="006862AF"/>
    <w:rsid w:val="00692114"/>
    <w:rsid w:val="00693E4E"/>
    <w:rsid w:val="00697D4A"/>
    <w:rsid w:val="006A0277"/>
    <w:rsid w:val="006A52D2"/>
    <w:rsid w:val="006B1D25"/>
    <w:rsid w:val="006B5950"/>
    <w:rsid w:val="006D09A8"/>
    <w:rsid w:val="006D400F"/>
    <w:rsid w:val="006E06FB"/>
    <w:rsid w:val="006E1B1D"/>
    <w:rsid w:val="006E3B55"/>
    <w:rsid w:val="006F1F44"/>
    <w:rsid w:val="006F416B"/>
    <w:rsid w:val="006F7596"/>
    <w:rsid w:val="00704AB0"/>
    <w:rsid w:val="00704E70"/>
    <w:rsid w:val="00706A89"/>
    <w:rsid w:val="00713675"/>
    <w:rsid w:val="007210BC"/>
    <w:rsid w:val="00722A04"/>
    <w:rsid w:val="00724712"/>
    <w:rsid w:val="00725D96"/>
    <w:rsid w:val="00747FAC"/>
    <w:rsid w:val="00754449"/>
    <w:rsid w:val="00757606"/>
    <w:rsid w:val="007633E0"/>
    <w:rsid w:val="00764D4A"/>
    <w:rsid w:val="007724F8"/>
    <w:rsid w:val="007732E3"/>
    <w:rsid w:val="00776C5A"/>
    <w:rsid w:val="00780C2D"/>
    <w:rsid w:val="0079085B"/>
    <w:rsid w:val="00794C01"/>
    <w:rsid w:val="007A5E4A"/>
    <w:rsid w:val="007A60D1"/>
    <w:rsid w:val="007B5FA3"/>
    <w:rsid w:val="007B6E54"/>
    <w:rsid w:val="007C3406"/>
    <w:rsid w:val="007C5215"/>
    <w:rsid w:val="007D01C3"/>
    <w:rsid w:val="007D1D08"/>
    <w:rsid w:val="007E3DFC"/>
    <w:rsid w:val="007E6EF4"/>
    <w:rsid w:val="00807CE6"/>
    <w:rsid w:val="00810833"/>
    <w:rsid w:val="00817754"/>
    <w:rsid w:val="00824FC1"/>
    <w:rsid w:val="00835C44"/>
    <w:rsid w:val="00837F46"/>
    <w:rsid w:val="00844E1F"/>
    <w:rsid w:val="0085143F"/>
    <w:rsid w:val="00855C66"/>
    <w:rsid w:val="00862A04"/>
    <w:rsid w:val="00863BC6"/>
    <w:rsid w:val="008650BC"/>
    <w:rsid w:val="008653A4"/>
    <w:rsid w:val="00867F80"/>
    <w:rsid w:val="00870516"/>
    <w:rsid w:val="00883134"/>
    <w:rsid w:val="00884BAB"/>
    <w:rsid w:val="00885311"/>
    <w:rsid w:val="00887C39"/>
    <w:rsid w:val="008B12EA"/>
    <w:rsid w:val="008B3C93"/>
    <w:rsid w:val="008B6870"/>
    <w:rsid w:val="008C703F"/>
    <w:rsid w:val="008D3DDB"/>
    <w:rsid w:val="008D6E2D"/>
    <w:rsid w:val="008E032F"/>
    <w:rsid w:val="008F5AAD"/>
    <w:rsid w:val="00911000"/>
    <w:rsid w:val="00920752"/>
    <w:rsid w:val="0092120B"/>
    <w:rsid w:val="00931890"/>
    <w:rsid w:val="009326A9"/>
    <w:rsid w:val="0094125D"/>
    <w:rsid w:val="009464A5"/>
    <w:rsid w:val="00951E66"/>
    <w:rsid w:val="00963126"/>
    <w:rsid w:val="009674CE"/>
    <w:rsid w:val="00967D69"/>
    <w:rsid w:val="00967E4B"/>
    <w:rsid w:val="00971689"/>
    <w:rsid w:val="00973E90"/>
    <w:rsid w:val="00975107"/>
    <w:rsid w:val="009837D7"/>
    <w:rsid w:val="009849F3"/>
    <w:rsid w:val="00997149"/>
    <w:rsid w:val="009A63B0"/>
    <w:rsid w:val="009C2343"/>
    <w:rsid w:val="009C2A62"/>
    <w:rsid w:val="009C3A48"/>
    <w:rsid w:val="009E1A8E"/>
    <w:rsid w:val="009F2F56"/>
    <w:rsid w:val="009F7C31"/>
    <w:rsid w:val="00A02F66"/>
    <w:rsid w:val="00A047DE"/>
    <w:rsid w:val="00A1734A"/>
    <w:rsid w:val="00A243CD"/>
    <w:rsid w:val="00A3451C"/>
    <w:rsid w:val="00A3467E"/>
    <w:rsid w:val="00A45F62"/>
    <w:rsid w:val="00A6690C"/>
    <w:rsid w:val="00A72641"/>
    <w:rsid w:val="00A73C4F"/>
    <w:rsid w:val="00A8238A"/>
    <w:rsid w:val="00A863FF"/>
    <w:rsid w:val="00A92D8F"/>
    <w:rsid w:val="00AA1545"/>
    <w:rsid w:val="00AA4757"/>
    <w:rsid w:val="00AA4798"/>
    <w:rsid w:val="00AB1166"/>
    <w:rsid w:val="00AC532B"/>
    <w:rsid w:val="00AD3292"/>
    <w:rsid w:val="00AD3A6D"/>
    <w:rsid w:val="00AE237E"/>
    <w:rsid w:val="00AE5AB8"/>
    <w:rsid w:val="00B00DDF"/>
    <w:rsid w:val="00B047DB"/>
    <w:rsid w:val="00B07F43"/>
    <w:rsid w:val="00B100C9"/>
    <w:rsid w:val="00B104B3"/>
    <w:rsid w:val="00B142A7"/>
    <w:rsid w:val="00B2616E"/>
    <w:rsid w:val="00B33B54"/>
    <w:rsid w:val="00B41090"/>
    <w:rsid w:val="00B414F7"/>
    <w:rsid w:val="00B51F5E"/>
    <w:rsid w:val="00B544BA"/>
    <w:rsid w:val="00B65FE9"/>
    <w:rsid w:val="00B80205"/>
    <w:rsid w:val="00BA5A7B"/>
    <w:rsid w:val="00BB7779"/>
    <w:rsid w:val="00BC49C0"/>
    <w:rsid w:val="00BC68AE"/>
    <w:rsid w:val="00BC73A3"/>
    <w:rsid w:val="00BD48CF"/>
    <w:rsid w:val="00BD6226"/>
    <w:rsid w:val="00BF1222"/>
    <w:rsid w:val="00C15A72"/>
    <w:rsid w:val="00C230D8"/>
    <w:rsid w:val="00C2692F"/>
    <w:rsid w:val="00C30519"/>
    <w:rsid w:val="00C30E39"/>
    <w:rsid w:val="00C3319F"/>
    <w:rsid w:val="00C33D1A"/>
    <w:rsid w:val="00C34687"/>
    <w:rsid w:val="00C50790"/>
    <w:rsid w:val="00C62161"/>
    <w:rsid w:val="00C6513B"/>
    <w:rsid w:val="00C65AE4"/>
    <w:rsid w:val="00C70CD7"/>
    <w:rsid w:val="00C815B6"/>
    <w:rsid w:val="00C9016D"/>
    <w:rsid w:val="00C93F4D"/>
    <w:rsid w:val="00C9578A"/>
    <w:rsid w:val="00CA064C"/>
    <w:rsid w:val="00CA1A09"/>
    <w:rsid w:val="00CB0350"/>
    <w:rsid w:val="00CB2AAD"/>
    <w:rsid w:val="00CB5C38"/>
    <w:rsid w:val="00CC349A"/>
    <w:rsid w:val="00CC3662"/>
    <w:rsid w:val="00CD3422"/>
    <w:rsid w:val="00CD395F"/>
    <w:rsid w:val="00CE4B82"/>
    <w:rsid w:val="00D02A48"/>
    <w:rsid w:val="00D07EF6"/>
    <w:rsid w:val="00D11F7C"/>
    <w:rsid w:val="00D27906"/>
    <w:rsid w:val="00D31BAB"/>
    <w:rsid w:val="00D34BFD"/>
    <w:rsid w:val="00D46D8A"/>
    <w:rsid w:val="00D500C8"/>
    <w:rsid w:val="00D569A2"/>
    <w:rsid w:val="00D76F4E"/>
    <w:rsid w:val="00D77085"/>
    <w:rsid w:val="00D77B3F"/>
    <w:rsid w:val="00D80014"/>
    <w:rsid w:val="00D8357D"/>
    <w:rsid w:val="00D96CB0"/>
    <w:rsid w:val="00DB040D"/>
    <w:rsid w:val="00DB0D9D"/>
    <w:rsid w:val="00DB7174"/>
    <w:rsid w:val="00DB75F8"/>
    <w:rsid w:val="00DC0A05"/>
    <w:rsid w:val="00DD78EF"/>
    <w:rsid w:val="00DE5CDF"/>
    <w:rsid w:val="00DE6443"/>
    <w:rsid w:val="00DE76D8"/>
    <w:rsid w:val="00DF2405"/>
    <w:rsid w:val="00DF3064"/>
    <w:rsid w:val="00E00503"/>
    <w:rsid w:val="00E01F42"/>
    <w:rsid w:val="00E1104D"/>
    <w:rsid w:val="00E16501"/>
    <w:rsid w:val="00E20AD6"/>
    <w:rsid w:val="00E2172F"/>
    <w:rsid w:val="00E2398C"/>
    <w:rsid w:val="00E24BE5"/>
    <w:rsid w:val="00E27129"/>
    <w:rsid w:val="00E46893"/>
    <w:rsid w:val="00E510EF"/>
    <w:rsid w:val="00E51B0E"/>
    <w:rsid w:val="00E52CF5"/>
    <w:rsid w:val="00E638FA"/>
    <w:rsid w:val="00E63F35"/>
    <w:rsid w:val="00E64ACA"/>
    <w:rsid w:val="00E65D9B"/>
    <w:rsid w:val="00E722B5"/>
    <w:rsid w:val="00E75C02"/>
    <w:rsid w:val="00E774BF"/>
    <w:rsid w:val="00E92647"/>
    <w:rsid w:val="00E93A15"/>
    <w:rsid w:val="00E94747"/>
    <w:rsid w:val="00E95B6F"/>
    <w:rsid w:val="00EA03A7"/>
    <w:rsid w:val="00EA0DB1"/>
    <w:rsid w:val="00EA169E"/>
    <w:rsid w:val="00EA2FDD"/>
    <w:rsid w:val="00EB643E"/>
    <w:rsid w:val="00EB7D3B"/>
    <w:rsid w:val="00EC1383"/>
    <w:rsid w:val="00EC31CD"/>
    <w:rsid w:val="00ED56EA"/>
    <w:rsid w:val="00EE33A7"/>
    <w:rsid w:val="00EE3880"/>
    <w:rsid w:val="00EE3E0E"/>
    <w:rsid w:val="00EF0174"/>
    <w:rsid w:val="00EF09E9"/>
    <w:rsid w:val="00EF366A"/>
    <w:rsid w:val="00EF7AA1"/>
    <w:rsid w:val="00F051F4"/>
    <w:rsid w:val="00F141A3"/>
    <w:rsid w:val="00F14D61"/>
    <w:rsid w:val="00F17251"/>
    <w:rsid w:val="00F21CE2"/>
    <w:rsid w:val="00F27DA1"/>
    <w:rsid w:val="00F30B69"/>
    <w:rsid w:val="00F33282"/>
    <w:rsid w:val="00F35225"/>
    <w:rsid w:val="00F41072"/>
    <w:rsid w:val="00F4367A"/>
    <w:rsid w:val="00F47A6E"/>
    <w:rsid w:val="00F632AF"/>
    <w:rsid w:val="00F676D6"/>
    <w:rsid w:val="00F7474C"/>
    <w:rsid w:val="00F7606D"/>
    <w:rsid w:val="00FA0518"/>
    <w:rsid w:val="00FA2138"/>
    <w:rsid w:val="00FA2BE6"/>
    <w:rsid w:val="00FA39FB"/>
    <w:rsid w:val="00FA624C"/>
    <w:rsid w:val="00FA71FA"/>
    <w:rsid w:val="00FA7C7E"/>
    <w:rsid w:val="00FB3424"/>
    <w:rsid w:val="00FC09CF"/>
    <w:rsid w:val="00FC2C67"/>
    <w:rsid w:val="00FD34CA"/>
    <w:rsid w:val="00FE40F0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9FB"/>
    <w:pPr>
      <w:ind w:left="720"/>
      <w:contextualSpacing/>
    </w:pPr>
  </w:style>
  <w:style w:type="table" w:styleId="TableGrid">
    <w:name w:val="Table Grid"/>
    <w:basedOn w:val="TableNormal"/>
    <w:rsid w:val="00F63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30E39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0E39"/>
    <w:rPr>
      <w:rFonts w:ascii="Arial" w:eastAsiaTheme="minorHAnsi" w:hAnsi="Arial" w:cstheme="minorBidi"/>
      <w:sz w:val="24"/>
      <w:szCs w:val="21"/>
      <w:lang w:eastAsia="en-US"/>
    </w:rPr>
  </w:style>
  <w:style w:type="paragraph" w:styleId="FootnoteText">
    <w:name w:val="footnote text"/>
    <w:basedOn w:val="Normal"/>
    <w:link w:val="FootnoteTextChar"/>
    <w:rsid w:val="005844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4460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84460"/>
    <w:rPr>
      <w:vertAlign w:val="superscript"/>
    </w:rPr>
  </w:style>
  <w:style w:type="character" w:customStyle="1" w:styleId="Firstpagetablebold">
    <w:name w:val="First page table: bold"/>
    <w:qFormat/>
    <w:rsid w:val="00EC31CD"/>
    <w:rPr>
      <w:rFonts w:ascii="Arial" w:hAnsi="Arial" w:cs="Arial" w:hint="default"/>
      <w:b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9FB"/>
    <w:pPr>
      <w:ind w:left="720"/>
      <w:contextualSpacing/>
    </w:pPr>
  </w:style>
  <w:style w:type="table" w:styleId="TableGrid">
    <w:name w:val="Table Grid"/>
    <w:basedOn w:val="TableNormal"/>
    <w:rsid w:val="00F63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30E39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0E39"/>
    <w:rPr>
      <w:rFonts w:ascii="Arial" w:eastAsiaTheme="minorHAnsi" w:hAnsi="Arial" w:cstheme="minorBidi"/>
      <w:sz w:val="24"/>
      <w:szCs w:val="21"/>
      <w:lang w:eastAsia="en-US"/>
    </w:rPr>
  </w:style>
  <w:style w:type="paragraph" w:styleId="FootnoteText">
    <w:name w:val="footnote text"/>
    <w:basedOn w:val="Normal"/>
    <w:link w:val="FootnoteTextChar"/>
    <w:rsid w:val="005844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4460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84460"/>
    <w:rPr>
      <w:vertAlign w:val="superscript"/>
    </w:rPr>
  </w:style>
  <w:style w:type="character" w:customStyle="1" w:styleId="Firstpagetablebold">
    <w:name w:val="First page table: bold"/>
    <w:qFormat/>
    <w:rsid w:val="00EC31CD"/>
    <w:rPr>
      <w:rFonts w:ascii="Arial" w:hAnsi="Arial" w:cs="Arial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piercy@oxford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FF7D-C6A6-4DCF-8655-E0F340B3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99FCC2E</Template>
  <TotalTime>8</TotalTime>
  <Pages>5</Pages>
  <Words>1369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catherine.phythian</cp:lastModifiedBy>
  <cp:revision>4</cp:revision>
  <cp:lastPrinted>2010-10-15T09:32:00Z</cp:lastPrinted>
  <dcterms:created xsi:type="dcterms:W3CDTF">2016-03-14T10:58:00Z</dcterms:created>
  <dcterms:modified xsi:type="dcterms:W3CDTF">2016-04-04T10:53:00Z</dcterms:modified>
</cp:coreProperties>
</file>